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CF14D" w14:textId="77777777" w:rsidR="00990450" w:rsidRDefault="00000000">
      <w:pPr>
        <w:jc w:val="center"/>
      </w:pPr>
      <w:r>
        <w:rPr>
          <w:b/>
          <w:sz w:val="32"/>
          <w:szCs w:val="32"/>
        </w:rPr>
        <w:t>CONTRATO PRIVADO DE COMPRAVENTA DE VIVIENDA</w:t>
      </w:r>
    </w:p>
    <w:p w14:paraId="57C2056A" w14:textId="77777777" w:rsidR="00990450" w:rsidRDefault="00990450"/>
    <w:p w14:paraId="4956A9AB" w14:textId="77777777" w:rsidR="00990450" w:rsidRDefault="00990450"/>
    <w:p w14:paraId="1CB7F01F" w14:textId="77777777" w:rsidR="00990450" w:rsidRDefault="00000000">
      <w:pPr>
        <w:jc w:val="right"/>
      </w:pPr>
      <w:r>
        <w:rPr>
          <w:rFonts w:eastAsiaTheme="minorHAnsi"/>
          <w:szCs w:val="24"/>
          <w:lang w:val="es-ES"/>
        </w:rPr>
        <w:t xml:space="preserve">En </w:t>
      </w:r>
      <w:r>
        <w:rPr>
          <w:rFonts w:eastAsiaTheme="minorHAnsi"/>
          <w:color w:val="FF0000"/>
          <w:szCs w:val="24"/>
          <w:lang w:val="es-ES"/>
        </w:rPr>
        <w:t>XXX</w:t>
      </w:r>
      <w:r>
        <w:rPr>
          <w:rFonts w:eastAsiaTheme="minorHAnsi"/>
          <w:szCs w:val="24"/>
          <w:lang w:val="es-ES"/>
        </w:rPr>
        <w:t xml:space="preserve">, a </w:t>
      </w:r>
      <w:r>
        <w:rPr>
          <w:rFonts w:eastAsiaTheme="minorHAnsi"/>
          <w:color w:val="FF0000"/>
          <w:szCs w:val="24"/>
          <w:lang w:val="es-ES"/>
        </w:rPr>
        <w:t>XXX</w:t>
      </w:r>
      <w:r>
        <w:rPr>
          <w:rFonts w:eastAsiaTheme="minorHAnsi"/>
          <w:szCs w:val="24"/>
          <w:lang w:val="es-ES"/>
        </w:rPr>
        <w:t xml:space="preserve"> de </w:t>
      </w:r>
      <w:r>
        <w:rPr>
          <w:rFonts w:eastAsiaTheme="minorHAnsi"/>
          <w:color w:val="FF0000"/>
          <w:szCs w:val="24"/>
          <w:lang w:val="es-ES"/>
        </w:rPr>
        <w:t>XXX</w:t>
      </w:r>
      <w:r>
        <w:rPr>
          <w:rFonts w:eastAsiaTheme="minorHAnsi"/>
          <w:szCs w:val="24"/>
          <w:lang w:val="es-ES"/>
        </w:rPr>
        <w:t xml:space="preserve"> de 2026.</w:t>
      </w:r>
    </w:p>
    <w:p w14:paraId="5783976C" w14:textId="77777777" w:rsidR="00990450" w:rsidRDefault="00990450"/>
    <w:p w14:paraId="6E54F2FB" w14:textId="77777777" w:rsidR="00990450" w:rsidRDefault="00990450"/>
    <w:p w14:paraId="4BFA84D7" w14:textId="77777777" w:rsidR="00990450" w:rsidRDefault="00000000">
      <w:pPr>
        <w:keepNext/>
        <w:jc w:val="center"/>
      </w:pPr>
      <w:r>
        <w:rPr>
          <w:b/>
          <w:sz w:val="28"/>
          <w:szCs w:val="22"/>
        </w:rPr>
        <w:t>REUNIDOS</w:t>
      </w:r>
    </w:p>
    <w:p w14:paraId="64C6F71B" w14:textId="77777777" w:rsidR="00990450" w:rsidRDefault="00990450"/>
    <w:p w14:paraId="4002C031" w14:textId="77777777" w:rsidR="00990450" w:rsidRDefault="00000000">
      <w:pPr>
        <w:spacing w:after="160" w:line="259" w:lineRule="auto"/>
        <w:ind w:firstLine="708"/>
        <w:jc w:val="both"/>
      </w:pPr>
      <w:r>
        <w:rPr>
          <w:rFonts w:eastAsiaTheme="minorHAnsi"/>
          <w:szCs w:val="24"/>
          <w:lang w:val="es-ES"/>
        </w:rPr>
        <w:t xml:space="preserve">De una parte, </w:t>
      </w:r>
      <w:r>
        <w:rPr>
          <w:rFonts w:eastAsiaTheme="minorHAnsi"/>
          <w:color w:val="FF0000"/>
          <w:szCs w:val="24"/>
          <w:lang w:val="es-ES"/>
        </w:rPr>
        <w:t>XXX</w:t>
      </w:r>
      <w:r>
        <w:rPr>
          <w:rFonts w:eastAsiaTheme="minorHAnsi"/>
          <w:szCs w:val="24"/>
          <w:lang w:val="es-ES"/>
        </w:rPr>
        <w:t xml:space="preserve">, mayor de edad, de estado civil </w:t>
      </w:r>
      <w:r>
        <w:rPr>
          <w:rFonts w:eastAsiaTheme="minorHAnsi"/>
          <w:color w:val="FF0000"/>
          <w:szCs w:val="24"/>
          <w:lang w:val="es-ES"/>
        </w:rPr>
        <w:t>XXX</w:t>
      </w:r>
      <w:r>
        <w:rPr>
          <w:rFonts w:eastAsiaTheme="minorHAnsi"/>
          <w:szCs w:val="24"/>
          <w:lang w:val="es-ES"/>
        </w:rPr>
        <w:t xml:space="preserve"> (si está casado, indíquese el régimen económico matrimonial), con domicilio en </w:t>
      </w:r>
      <w:r>
        <w:rPr>
          <w:rFonts w:eastAsiaTheme="minorHAnsi"/>
          <w:color w:val="FF0000"/>
          <w:szCs w:val="24"/>
          <w:lang w:val="es-ES"/>
        </w:rPr>
        <w:t>XXX</w:t>
      </w:r>
      <w:r>
        <w:rPr>
          <w:rFonts w:eastAsiaTheme="minorHAnsi"/>
          <w:szCs w:val="24"/>
          <w:lang w:val="es-ES"/>
        </w:rPr>
        <w:t xml:space="preserve">, NIF </w:t>
      </w:r>
      <w:r>
        <w:rPr>
          <w:rFonts w:eastAsiaTheme="minorHAnsi"/>
          <w:color w:val="FF0000"/>
          <w:szCs w:val="24"/>
          <w:lang w:val="es-ES"/>
        </w:rPr>
        <w:t>XXX</w:t>
      </w:r>
      <w:r>
        <w:rPr>
          <w:rFonts w:eastAsiaTheme="minorHAnsi"/>
          <w:szCs w:val="24"/>
          <w:lang w:val="es-ES"/>
        </w:rPr>
        <w:t xml:space="preserve"> y residencia fiscal en </w:t>
      </w:r>
      <w:r>
        <w:rPr>
          <w:rFonts w:eastAsiaTheme="minorHAnsi"/>
          <w:color w:val="FF0000"/>
          <w:szCs w:val="24"/>
          <w:lang w:val="es-ES"/>
        </w:rPr>
        <w:t>España / XXX</w:t>
      </w:r>
      <w:r>
        <w:rPr>
          <w:rFonts w:eastAsiaTheme="minorHAnsi"/>
          <w:szCs w:val="24"/>
          <w:lang w:val="es-ES"/>
        </w:rPr>
        <w:t xml:space="preserve"> (en adelante, </w:t>
      </w:r>
      <w:r>
        <w:rPr>
          <w:rFonts w:eastAsiaTheme="minorHAnsi"/>
          <w:b/>
          <w:bCs/>
          <w:szCs w:val="24"/>
          <w:lang w:val="es-ES"/>
        </w:rPr>
        <w:t>la parte vendedora</w:t>
      </w:r>
      <w:r>
        <w:rPr>
          <w:rFonts w:eastAsiaTheme="minorHAnsi"/>
          <w:szCs w:val="24"/>
          <w:lang w:val="es-ES"/>
        </w:rPr>
        <w:t xml:space="preserve">). Designa para las comunicaciones derivadas de este contrato el correo electrónico </w:t>
      </w:r>
      <w:r>
        <w:rPr>
          <w:rFonts w:eastAsiaTheme="minorHAnsi"/>
          <w:color w:val="FF0000"/>
          <w:szCs w:val="24"/>
          <w:lang w:val="es-ES"/>
        </w:rPr>
        <w:t>XXX</w:t>
      </w:r>
      <w:r>
        <w:rPr>
          <w:rFonts w:eastAsiaTheme="minorHAnsi"/>
          <w:szCs w:val="24"/>
          <w:lang w:val="es-ES"/>
        </w:rPr>
        <w:t xml:space="preserve"> y el teléfono </w:t>
      </w:r>
      <w:r>
        <w:rPr>
          <w:rFonts w:eastAsiaTheme="minorHAnsi"/>
          <w:color w:val="FF0000"/>
          <w:szCs w:val="24"/>
          <w:lang w:val="es-ES"/>
        </w:rPr>
        <w:t>XXX</w:t>
      </w:r>
      <w:r>
        <w:rPr>
          <w:rFonts w:eastAsiaTheme="minorHAnsi"/>
          <w:szCs w:val="24"/>
          <w:lang w:val="es-ES"/>
        </w:rPr>
        <w:t>.</w:t>
      </w:r>
    </w:p>
    <w:p w14:paraId="4493FB88" w14:textId="77777777" w:rsidR="00990450" w:rsidRDefault="00000000">
      <w:pPr>
        <w:spacing w:after="160" w:line="259" w:lineRule="auto"/>
        <w:ind w:firstLine="708"/>
        <w:jc w:val="both"/>
      </w:pPr>
      <w:r>
        <w:rPr>
          <w:rFonts w:eastAsiaTheme="minorHAnsi"/>
          <w:szCs w:val="24"/>
          <w:lang w:val="es-ES"/>
        </w:rPr>
        <w:t xml:space="preserve">De otra parte, </w:t>
      </w:r>
      <w:r>
        <w:rPr>
          <w:rFonts w:eastAsiaTheme="minorHAnsi"/>
          <w:color w:val="FF0000"/>
          <w:szCs w:val="24"/>
          <w:lang w:val="es-ES"/>
        </w:rPr>
        <w:t>XXX</w:t>
      </w:r>
      <w:r>
        <w:rPr>
          <w:rFonts w:eastAsiaTheme="minorHAnsi"/>
          <w:szCs w:val="24"/>
          <w:lang w:val="es-ES"/>
        </w:rPr>
        <w:t xml:space="preserve">, mayor de edad, de estado civil </w:t>
      </w:r>
      <w:r>
        <w:rPr>
          <w:rFonts w:eastAsiaTheme="minorHAnsi"/>
          <w:color w:val="FF0000"/>
          <w:szCs w:val="24"/>
          <w:lang w:val="es-ES"/>
        </w:rPr>
        <w:t>XXX</w:t>
      </w:r>
      <w:r>
        <w:rPr>
          <w:rFonts w:eastAsiaTheme="minorHAnsi"/>
          <w:szCs w:val="24"/>
          <w:lang w:val="es-ES"/>
        </w:rPr>
        <w:t xml:space="preserve"> (si está casado, indíquese el régimen económico matrimonial), con domicilio en </w:t>
      </w:r>
      <w:r>
        <w:rPr>
          <w:rFonts w:eastAsiaTheme="minorHAnsi"/>
          <w:color w:val="FF0000"/>
          <w:szCs w:val="24"/>
          <w:lang w:val="es-ES"/>
        </w:rPr>
        <w:t>XXX</w:t>
      </w:r>
      <w:r>
        <w:rPr>
          <w:rFonts w:eastAsiaTheme="minorHAnsi"/>
          <w:szCs w:val="24"/>
          <w:lang w:val="es-ES"/>
        </w:rPr>
        <w:t xml:space="preserve"> y NIF </w:t>
      </w:r>
      <w:r>
        <w:rPr>
          <w:rFonts w:eastAsiaTheme="minorHAnsi"/>
          <w:color w:val="FF0000"/>
          <w:szCs w:val="24"/>
          <w:lang w:val="es-ES"/>
        </w:rPr>
        <w:t>XXX</w:t>
      </w:r>
      <w:r>
        <w:rPr>
          <w:rFonts w:eastAsiaTheme="minorHAnsi"/>
          <w:szCs w:val="24"/>
          <w:lang w:val="es-ES"/>
        </w:rPr>
        <w:t xml:space="preserve"> (en adelante, </w:t>
      </w:r>
      <w:r>
        <w:rPr>
          <w:rFonts w:eastAsiaTheme="minorHAnsi"/>
          <w:b/>
          <w:bCs/>
          <w:szCs w:val="24"/>
          <w:lang w:val="es-ES"/>
        </w:rPr>
        <w:t>la parte compradora</w:t>
      </w:r>
      <w:r>
        <w:rPr>
          <w:rFonts w:eastAsiaTheme="minorHAnsi"/>
          <w:szCs w:val="24"/>
          <w:lang w:val="es-ES"/>
        </w:rPr>
        <w:t xml:space="preserve">). Designa para las comunicaciones derivadas de este contrato el correo electrónico </w:t>
      </w:r>
      <w:r>
        <w:rPr>
          <w:rFonts w:eastAsiaTheme="minorHAnsi"/>
          <w:color w:val="FF0000"/>
          <w:szCs w:val="24"/>
          <w:lang w:val="es-ES"/>
        </w:rPr>
        <w:t>XXX</w:t>
      </w:r>
      <w:r>
        <w:rPr>
          <w:rFonts w:eastAsiaTheme="minorHAnsi"/>
          <w:szCs w:val="24"/>
          <w:lang w:val="es-ES"/>
        </w:rPr>
        <w:t xml:space="preserve"> y el teléfono </w:t>
      </w:r>
      <w:r>
        <w:rPr>
          <w:rFonts w:eastAsiaTheme="minorHAnsi"/>
          <w:color w:val="FF0000"/>
          <w:szCs w:val="24"/>
          <w:lang w:val="es-ES"/>
        </w:rPr>
        <w:t>XXX</w:t>
      </w:r>
      <w:r>
        <w:rPr>
          <w:rFonts w:eastAsiaTheme="minorHAnsi"/>
          <w:szCs w:val="24"/>
          <w:lang w:val="es-ES"/>
        </w:rPr>
        <w:t>.</w:t>
      </w:r>
    </w:p>
    <w:p w14:paraId="7C25612D" w14:textId="77777777" w:rsidR="00990450" w:rsidRDefault="00000000">
      <w:pPr>
        <w:spacing w:after="160" w:line="259" w:lineRule="auto"/>
        <w:ind w:firstLine="708"/>
        <w:jc w:val="both"/>
      </w:pPr>
      <w:r>
        <w:rPr>
          <w:rFonts w:eastAsiaTheme="minorHAnsi"/>
          <w:i/>
          <w:iCs/>
          <w:color w:val="FF0000"/>
          <w:szCs w:val="24"/>
          <w:lang w:val="es-ES"/>
        </w:rPr>
        <w:t>[Nota para el redactor – eliminar antes de la firma: si la vivienda es ganancial o constituye la vivienda familiar, deben consentir ambos cónyuges (arts. 1320 y 1377 del Código Civil). Si interviene una persona jurídica o un representante, indíquense la denominación, CIF, datos registrales y el poder o cargo del firmante. Si la parte vendedora no es residente fiscal en España, la compradora deberá retener e ingresar el 3 % del precio a cuenta del Impuesto sobre la Renta de no Residentes; compruébese en la normativa vigente.]</w:t>
      </w:r>
    </w:p>
    <w:p w14:paraId="410DF435" w14:textId="77777777" w:rsidR="00990450" w:rsidRDefault="00990450"/>
    <w:p w14:paraId="4F5E6EA5" w14:textId="77777777" w:rsidR="00990450" w:rsidRDefault="00000000">
      <w:pPr>
        <w:keepNext/>
        <w:jc w:val="center"/>
      </w:pPr>
      <w:r>
        <w:rPr>
          <w:b/>
          <w:sz w:val="28"/>
          <w:szCs w:val="22"/>
        </w:rPr>
        <w:t>INTERVIENEN</w:t>
      </w:r>
    </w:p>
    <w:p w14:paraId="74C77E2A" w14:textId="77777777" w:rsidR="00990450" w:rsidRDefault="00990450"/>
    <w:p w14:paraId="24400360" w14:textId="77777777" w:rsidR="00990450" w:rsidRDefault="00000000">
      <w:pPr>
        <w:spacing w:after="160" w:line="259" w:lineRule="auto"/>
        <w:ind w:firstLine="708"/>
        <w:jc w:val="both"/>
      </w:pPr>
      <w:r>
        <w:rPr>
          <w:rFonts w:eastAsiaTheme="minorHAnsi"/>
          <w:szCs w:val="24"/>
          <w:lang w:val="es-ES"/>
        </w:rPr>
        <w:t xml:space="preserve">Cada parte en su propio nombre y derecho. Si cualquiera de ellas estuviera </w:t>
      </w:r>
      <w:proofErr w:type="gramStart"/>
      <w:r>
        <w:rPr>
          <w:rFonts w:eastAsiaTheme="minorHAnsi"/>
          <w:szCs w:val="24"/>
          <w:lang w:val="es-ES"/>
        </w:rPr>
        <w:t>integrada</w:t>
      </w:r>
      <w:proofErr w:type="gramEnd"/>
      <w:r>
        <w:rPr>
          <w:rFonts w:eastAsiaTheme="minorHAnsi"/>
          <w:szCs w:val="24"/>
          <w:lang w:val="es-ES"/>
        </w:rPr>
        <w:t xml:space="preserve"> por varias personas, todas quedan obligadas solidariamente frente a la otra.</w:t>
      </w:r>
    </w:p>
    <w:p w14:paraId="46CE45ED" w14:textId="77777777" w:rsidR="00990450" w:rsidRDefault="00000000">
      <w:pPr>
        <w:spacing w:after="160" w:line="259" w:lineRule="auto"/>
        <w:ind w:firstLine="708"/>
        <w:jc w:val="both"/>
      </w:pPr>
      <w:r>
        <w:rPr>
          <w:rFonts w:eastAsiaTheme="minorHAnsi"/>
          <w:szCs w:val="24"/>
          <w:lang w:val="es-ES"/>
        </w:rPr>
        <w:t>Ambas partes se reconocen capacidad legal bastante para obligarse por el presente contrato de compraventa y, a tal efecto,</w:t>
      </w:r>
    </w:p>
    <w:p w14:paraId="725D7CF2" w14:textId="77777777" w:rsidR="00990450" w:rsidRDefault="00990450"/>
    <w:p w14:paraId="078F46AE" w14:textId="77777777" w:rsidR="00990450" w:rsidRDefault="00000000">
      <w:pPr>
        <w:keepNext/>
        <w:jc w:val="center"/>
      </w:pPr>
      <w:r>
        <w:rPr>
          <w:b/>
          <w:sz w:val="28"/>
          <w:szCs w:val="22"/>
        </w:rPr>
        <w:t>EXPONEN</w:t>
      </w:r>
    </w:p>
    <w:p w14:paraId="1E9730F1" w14:textId="77777777" w:rsidR="00990450" w:rsidRDefault="00990450"/>
    <w:p w14:paraId="293D5C14" w14:textId="77777777" w:rsidR="00990450" w:rsidRDefault="00000000">
      <w:pPr>
        <w:spacing w:after="160" w:line="259" w:lineRule="auto"/>
        <w:ind w:firstLine="708"/>
        <w:jc w:val="both"/>
        <w:rPr>
          <w:rFonts w:eastAsiaTheme="minorHAnsi"/>
          <w:szCs w:val="24"/>
          <w:lang w:val="es-ES"/>
        </w:rPr>
      </w:pPr>
      <w:r>
        <w:rPr>
          <w:rFonts w:eastAsiaTheme="minorHAnsi"/>
          <w:b/>
          <w:bCs/>
          <w:szCs w:val="24"/>
          <w:lang w:val="es-ES"/>
        </w:rPr>
        <w:t>I. Descripción de la finca.</w:t>
      </w:r>
      <w:r>
        <w:rPr>
          <w:rFonts w:eastAsiaTheme="minorHAnsi"/>
          <w:szCs w:val="24"/>
          <w:lang w:val="es-ES"/>
        </w:rPr>
        <w:t xml:space="preserve"> Que la parte vendedora es dueña, en pleno dominio y en la proporción de </w:t>
      </w:r>
      <w:r>
        <w:rPr>
          <w:rFonts w:eastAsiaTheme="minorHAnsi"/>
          <w:color w:val="FF0000"/>
          <w:szCs w:val="24"/>
          <w:lang w:val="es-ES"/>
        </w:rPr>
        <w:t>XXX</w:t>
      </w:r>
      <w:r>
        <w:rPr>
          <w:rFonts w:eastAsiaTheme="minorHAnsi"/>
          <w:szCs w:val="24"/>
          <w:lang w:val="es-ES"/>
        </w:rPr>
        <w:t>, de la siguiente finca:</w:t>
      </w:r>
    </w:p>
    <w:p w14:paraId="0CBBD950" w14:textId="77777777" w:rsidR="006947CC" w:rsidRDefault="006947CC">
      <w:pPr>
        <w:spacing w:after="160" w:line="259" w:lineRule="auto"/>
        <w:ind w:firstLine="708"/>
        <w:jc w:val="both"/>
      </w:pPr>
    </w:p>
    <w:p w14:paraId="32022C88" w14:textId="77777777" w:rsidR="00990450" w:rsidRDefault="00000000">
      <w:pPr>
        <w:spacing w:after="160" w:line="259" w:lineRule="auto"/>
        <w:ind w:firstLine="708"/>
        <w:jc w:val="both"/>
      </w:pPr>
      <w:r>
        <w:rPr>
          <w:rFonts w:eastAsiaTheme="minorHAnsi"/>
          <w:szCs w:val="24"/>
          <w:lang w:val="es-ES"/>
        </w:rPr>
        <w:lastRenderedPageBreak/>
        <w:t xml:space="preserve">Vivienda situada en </w:t>
      </w:r>
      <w:r>
        <w:rPr>
          <w:rFonts w:eastAsiaTheme="minorHAnsi"/>
          <w:color w:val="FF0000"/>
          <w:szCs w:val="24"/>
          <w:lang w:val="es-ES"/>
        </w:rPr>
        <w:t>XXX</w:t>
      </w:r>
      <w:r>
        <w:rPr>
          <w:rFonts w:eastAsiaTheme="minorHAnsi"/>
          <w:szCs w:val="24"/>
          <w:lang w:val="es-ES"/>
        </w:rPr>
        <w:t xml:space="preserve">, con una superficie construida de </w:t>
      </w:r>
      <w:r>
        <w:rPr>
          <w:rFonts w:eastAsiaTheme="minorHAnsi"/>
          <w:color w:val="FF0000"/>
          <w:szCs w:val="24"/>
          <w:lang w:val="es-ES"/>
        </w:rPr>
        <w:t>XXX</w:t>
      </w:r>
      <w:r>
        <w:rPr>
          <w:rFonts w:eastAsiaTheme="minorHAnsi"/>
          <w:szCs w:val="24"/>
          <w:lang w:val="es-ES"/>
        </w:rPr>
        <w:t xml:space="preserve"> m² y útil de </w:t>
      </w:r>
      <w:r>
        <w:rPr>
          <w:rFonts w:eastAsiaTheme="minorHAnsi"/>
          <w:color w:val="FF0000"/>
          <w:szCs w:val="24"/>
          <w:lang w:val="es-ES"/>
        </w:rPr>
        <w:t>XXX</w:t>
      </w:r>
      <w:r>
        <w:rPr>
          <w:rFonts w:eastAsiaTheme="minorHAnsi"/>
          <w:szCs w:val="24"/>
          <w:lang w:val="es-ES"/>
        </w:rPr>
        <w:t xml:space="preserve"> m², compuesta de </w:t>
      </w:r>
      <w:r>
        <w:rPr>
          <w:rFonts w:eastAsiaTheme="minorHAnsi"/>
          <w:color w:val="FF0000"/>
          <w:szCs w:val="24"/>
          <w:lang w:val="es-ES"/>
        </w:rPr>
        <w:t>XXX</w:t>
      </w:r>
      <w:r>
        <w:rPr>
          <w:rFonts w:eastAsiaTheme="minorHAnsi"/>
          <w:szCs w:val="24"/>
          <w:lang w:val="es-ES"/>
        </w:rPr>
        <w:t xml:space="preserve">. Linda: </w:t>
      </w:r>
      <w:r>
        <w:rPr>
          <w:rFonts w:eastAsiaTheme="minorHAnsi"/>
          <w:color w:val="FF0000"/>
          <w:szCs w:val="24"/>
          <w:lang w:val="es-ES"/>
        </w:rPr>
        <w:t>norte, sur, este y oeste</w:t>
      </w:r>
      <w:r>
        <w:rPr>
          <w:rFonts w:eastAsiaTheme="minorHAnsi"/>
          <w:szCs w:val="24"/>
          <w:lang w:val="es-ES"/>
        </w:rPr>
        <w:t xml:space="preserve">. Cuota de participación en los elementos comunes: </w:t>
      </w:r>
      <w:r>
        <w:rPr>
          <w:rFonts w:eastAsiaTheme="minorHAnsi"/>
          <w:color w:val="FF0000"/>
          <w:szCs w:val="24"/>
          <w:lang w:val="es-ES"/>
        </w:rPr>
        <w:t>XXX</w:t>
      </w:r>
      <w:r>
        <w:rPr>
          <w:rFonts w:eastAsiaTheme="minorHAnsi"/>
          <w:szCs w:val="24"/>
          <w:lang w:val="es-ES"/>
        </w:rPr>
        <w:t xml:space="preserve"> %. Anejos: </w:t>
      </w:r>
      <w:r>
        <w:rPr>
          <w:rFonts w:eastAsiaTheme="minorHAnsi"/>
          <w:color w:val="FF0000"/>
          <w:szCs w:val="24"/>
          <w:lang w:val="es-ES"/>
        </w:rPr>
        <w:t>plaza de garaje n.º XXX / trastero n.º XXX / ninguno</w:t>
      </w:r>
      <w:r>
        <w:rPr>
          <w:rFonts w:eastAsiaTheme="minorHAnsi"/>
          <w:szCs w:val="24"/>
          <w:lang w:val="es-ES"/>
        </w:rPr>
        <w:t>.</w:t>
      </w:r>
    </w:p>
    <w:p w14:paraId="187318E7" w14:textId="77777777" w:rsidR="00990450" w:rsidRDefault="00000000">
      <w:pPr>
        <w:spacing w:after="160" w:line="259" w:lineRule="auto"/>
        <w:ind w:firstLine="708"/>
        <w:jc w:val="both"/>
      </w:pPr>
      <w:r>
        <w:rPr>
          <w:rFonts w:eastAsiaTheme="minorHAnsi"/>
          <w:szCs w:val="24"/>
          <w:lang w:val="es-ES"/>
        </w:rPr>
        <w:t xml:space="preserve">Inscripción: Registro de la Propiedad n.º </w:t>
      </w:r>
      <w:r>
        <w:rPr>
          <w:rFonts w:eastAsiaTheme="minorHAnsi"/>
          <w:color w:val="FF0000"/>
          <w:szCs w:val="24"/>
          <w:lang w:val="es-ES"/>
        </w:rPr>
        <w:t>XXX</w:t>
      </w:r>
      <w:r>
        <w:rPr>
          <w:rFonts w:eastAsiaTheme="minorHAnsi"/>
          <w:szCs w:val="24"/>
          <w:lang w:val="es-ES"/>
        </w:rPr>
        <w:t xml:space="preserve"> de </w:t>
      </w:r>
      <w:r>
        <w:rPr>
          <w:rFonts w:eastAsiaTheme="minorHAnsi"/>
          <w:color w:val="FF0000"/>
          <w:szCs w:val="24"/>
          <w:lang w:val="es-ES"/>
        </w:rPr>
        <w:t>XXX</w:t>
      </w:r>
      <w:r>
        <w:rPr>
          <w:rFonts w:eastAsiaTheme="minorHAnsi"/>
          <w:szCs w:val="24"/>
          <w:lang w:val="es-ES"/>
        </w:rPr>
        <w:t xml:space="preserve">, tomo </w:t>
      </w:r>
      <w:r>
        <w:rPr>
          <w:rFonts w:eastAsiaTheme="minorHAnsi"/>
          <w:color w:val="FF0000"/>
          <w:szCs w:val="24"/>
          <w:lang w:val="es-ES"/>
        </w:rPr>
        <w:t>XXX</w:t>
      </w:r>
      <w:r>
        <w:rPr>
          <w:rFonts w:eastAsiaTheme="minorHAnsi"/>
          <w:szCs w:val="24"/>
          <w:lang w:val="es-ES"/>
        </w:rPr>
        <w:t xml:space="preserve">, libro </w:t>
      </w:r>
      <w:r>
        <w:rPr>
          <w:rFonts w:eastAsiaTheme="minorHAnsi"/>
          <w:color w:val="FF0000"/>
          <w:szCs w:val="24"/>
          <w:lang w:val="es-ES"/>
        </w:rPr>
        <w:t>XXX</w:t>
      </w:r>
      <w:r>
        <w:rPr>
          <w:rFonts w:eastAsiaTheme="minorHAnsi"/>
          <w:szCs w:val="24"/>
          <w:lang w:val="es-ES"/>
        </w:rPr>
        <w:t xml:space="preserve">, folio </w:t>
      </w:r>
      <w:r>
        <w:rPr>
          <w:rFonts w:eastAsiaTheme="minorHAnsi"/>
          <w:color w:val="FF0000"/>
          <w:szCs w:val="24"/>
          <w:lang w:val="es-ES"/>
        </w:rPr>
        <w:t>XXX</w:t>
      </w:r>
      <w:r>
        <w:rPr>
          <w:rFonts w:eastAsiaTheme="minorHAnsi"/>
          <w:szCs w:val="24"/>
          <w:lang w:val="es-ES"/>
        </w:rPr>
        <w:t xml:space="preserve">, finca registral n.º </w:t>
      </w:r>
      <w:r>
        <w:rPr>
          <w:rFonts w:eastAsiaTheme="minorHAnsi"/>
          <w:color w:val="FF0000"/>
          <w:szCs w:val="24"/>
          <w:lang w:val="es-ES"/>
        </w:rPr>
        <w:t>XXX</w:t>
      </w:r>
      <w:r>
        <w:rPr>
          <w:rFonts w:eastAsiaTheme="minorHAnsi"/>
          <w:szCs w:val="24"/>
          <w:lang w:val="es-ES"/>
        </w:rPr>
        <w:t xml:space="preserve">. Referencia catastral: </w:t>
      </w:r>
      <w:r>
        <w:rPr>
          <w:rFonts w:eastAsiaTheme="minorHAnsi"/>
          <w:color w:val="FF0000"/>
          <w:szCs w:val="24"/>
          <w:lang w:val="es-ES"/>
        </w:rPr>
        <w:t>XXX</w:t>
      </w:r>
      <w:r>
        <w:rPr>
          <w:rFonts w:eastAsiaTheme="minorHAnsi"/>
          <w:szCs w:val="24"/>
          <w:lang w:val="es-ES"/>
        </w:rPr>
        <w:t>.</w:t>
      </w:r>
    </w:p>
    <w:p w14:paraId="128F11F0" w14:textId="77777777" w:rsidR="00990450" w:rsidRDefault="00000000">
      <w:pPr>
        <w:spacing w:after="160" w:line="259" w:lineRule="auto"/>
        <w:ind w:firstLine="708"/>
        <w:jc w:val="both"/>
      </w:pPr>
      <w:r>
        <w:rPr>
          <w:rFonts w:eastAsiaTheme="minorHAnsi"/>
          <w:szCs w:val="24"/>
          <w:lang w:val="es-ES"/>
        </w:rPr>
        <w:t xml:space="preserve">Título: le pertenece por </w:t>
      </w:r>
      <w:r>
        <w:rPr>
          <w:rFonts w:eastAsiaTheme="minorHAnsi"/>
          <w:color w:val="FF0000"/>
          <w:szCs w:val="24"/>
          <w:lang w:val="es-ES"/>
        </w:rPr>
        <w:t>compraventa / herencia / donación / otro</w:t>
      </w:r>
      <w:r>
        <w:rPr>
          <w:rFonts w:eastAsiaTheme="minorHAnsi"/>
          <w:szCs w:val="24"/>
          <w:lang w:val="es-ES"/>
        </w:rPr>
        <w:t xml:space="preserve"> formalizada en escritura otorgada ante el notario de </w:t>
      </w:r>
      <w:r>
        <w:rPr>
          <w:rFonts w:eastAsiaTheme="minorHAnsi"/>
          <w:color w:val="FF0000"/>
          <w:szCs w:val="24"/>
          <w:lang w:val="es-ES"/>
        </w:rPr>
        <w:t>XXX</w:t>
      </w:r>
      <w:r>
        <w:rPr>
          <w:rFonts w:eastAsiaTheme="minorHAnsi"/>
          <w:szCs w:val="24"/>
          <w:lang w:val="es-ES"/>
        </w:rPr>
        <w:t>, D./</w:t>
      </w:r>
      <w:proofErr w:type="gramStart"/>
      <w:r>
        <w:rPr>
          <w:rFonts w:eastAsiaTheme="minorHAnsi"/>
          <w:szCs w:val="24"/>
          <w:lang w:val="es-ES"/>
        </w:rPr>
        <w:t>D.ª</w:t>
      </w:r>
      <w:proofErr w:type="gramEnd"/>
      <w:r>
        <w:rPr>
          <w:rFonts w:eastAsiaTheme="minorHAnsi"/>
          <w:szCs w:val="24"/>
          <w:lang w:val="es-ES"/>
        </w:rPr>
        <w:t xml:space="preserve"> </w:t>
      </w:r>
      <w:r>
        <w:rPr>
          <w:rFonts w:eastAsiaTheme="minorHAnsi"/>
          <w:color w:val="FF0000"/>
          <w:szCs w:val="24"/>
          <w:lang w:val="es-ES"/>
        </w:rPr>
        <w:t>XXX</w:t>
      </w:r>
      <w:r>
        <w:rPr>
          <w:rFonts w:eastAsiaTheme="minorHAnsi"/>
          <w:szCs w:val="24"/>
          <w:lang w:val="es-ES"/>
        </w:rPr>
        <w:t xml:space="preserve">, el </w:t>
      </w:r>
      <w:r>
        <w:rPr>
          <w:rFonts w:eastAsiaTheme="minorHAnsi"/>
          <w:color w:val="FF0000"/>
          <w:szCs w:val="24"/>
          <w:lang w:val="es-ES"/>
        </w:rPr>
        <w:t>XXX</w:t>
      </w:r>
      <w:r>
        <w:rPr>
          <w:rFonts w:eastAsiaTheme="minorHAnsi"/>
          <w:szCs w:val="24"/>
          <w:lang w:val="es-ES"/>
        </w:rPr>
        <w:t xml:space="preserve">, con el número </w:t>
      </w:r>
      <w:r>
        <w:rPr>
          <w:rFonts w:eastAsiaTheme="minorHAnsi"/>
          <w:color w:val="FF0000"/>
          <w:szCs w:val="24"/>
          <w:lang w:val="es-ES"/>
        </w:rPr>
        <w:t>XXX</w:t>
      </w:r>
      <w:r>
        <w:rPr>
          <w:rFonts w:eastAsiaTheme="minorHAnsi"/>
          <w:szCs w:val="24"/>
          <w:lang w:val="es-ES"/>
        </w:rPr>
        <w:t xml:space="preserve"> de su protocolo.</w:t>
      </w:r>
    </w:p>
    <w:p w14:paraId="15AFEA9F" w14:textId="77777777" w:rsidR="00990450" w:rsidRDefault="00000000">
      <w:pPr>
        <w:spacing w:after="160" w:line="259" w:lineRule="auto"/>
        <w:ind w:firstLine="708"/>
        <w:jc w:val="both"/>
      </w:pPr>
      <w:r>
        <w:rPr>
          <w:rFonts w:eastAsiaTheme="minorHAnsi"/>
          <w:b/>
          <w:bCs/>
          <w:szCs w:val="24"/>
          <w:lang w:val="es-ES"/>
        </w:rPr>
        <w:t>II. Cargas.</w:t>
      </w:r>
      <w:r>
        <w:rPr>
          <w:rFonts w:eastAsiaTheme="minorHAnsi"/>
          <w:szCs w:val="24"/>
          <w:lang w:val="es-ES"/>
        </w:rPr>
        <w:t xml:space="preserve"> Que, según la nota simple registral de fecha </w:t>
      </w:r>
      <w:r>
        <w:rPr>
          <w:rFonts w:eastAsiaTheme="minorHAnsi"/>
          <w:color w:val="FF0000"/>
          <w:szCs w:val="24"/>
          <w:lang w:val="es-ES"/>
        </w:rPr>
        <w:t>XXX</w:t>
      </w:r>
      <w:r>
        <w:rPr>
          <w:rFonts w:eastAsiaTheme="minorHAnsi"/>
          <w:szCs w:val="24"/>
          <w:lang w:val="es-ES"/>
        </w:rPr>
        <w:t xml:space="preserve"> que se une como Anexo I, la finca está libre de cargas, gravámenes y limitaciones, salvo </w:t>
      </w:r>
      <w:r>
        <w:rPr>
          <w:rFonts w:eastAsiaTheme="minorHAnsi"/>
          <w:color w:val="FF0000"/>
          <w:szCs w:val="24"/>
          <w:lang w:val="es-ES"/>
        </w:rPr>
        <w:t>hipoteca a favor de XXX, con un saldo pendiente aproximado de XXX euros / ninguna</w:t>
      </w:r>
      <w:r>
        <w:rPr>
          <w:rFonts w:eastAsiaTheme="minorHAnsi"/>
          <w:szCs w:val="24"/>
          <w:lang w:val="es-ES"/>
        </w:rPr>
        <w:t>, y que la parte vendedora no tiene conocimiento de ninguna otra carga, afección urbanística, expediente de ruina, procedimiento judicial o administrativo, ni derecho de terceros que afecte a la finca.</w:t>
      </w:r>
    </w:p>
    <w:p w14:paraId="18C8A5B7" w14:textId="77777777" w:rsidR="00990450" w:rsidRDefault="00000000">
      <w:pPr>
        <w:spacing w:after="160" w:line="259" w:lineRule="auto"/>
        <w:ind w:firstLine="708"/>
        <w:jc w:val="both"/>
      </w:pPr>
      <w:r>
        <w:rPr>
          <w:rFonts w:eastAsiaTheme="minorHAnsi"/>
          <w:b/>
          <w:bCs/>
          <w:szCs w:val="24"/>
          <w:lang w:val="es-ES"/>
        </w:rPr>
        <w:t>III. Situación posesoria.</w:t>
      </w:r>
      <w:r>
        <w:rPr>
          <w:rFonts w:eastAsiaTheme="minorHAnsi"/>
          <w:szCs w:val="24"/>
          <w:lang w:val="es-ES"/>
        </w:rPr>
        <w:t xml:space="preserve"> Que la vivienda </w:t>
      </w:r>
      <w:r>
        <w:rPr>
          <w:rFonts w:eastAsiaTheme="minorHAnsi"/>
          <w:color w:val="FF0000"/>
          <w:szCs w:val="24"/>
          <w:lang w:val="es-ES"/>
        </w:rPr>
        <w:t>está libre de arrendatarios y ocupantes / se encuentra arrendada a XXX en virtud de contrato de fecha XXX, cuya copia se une como Anexo V</w:t>
      </w:r>
      <w:r>
        <w:rPr>
          <w:rFonts w:eastAsiaTheme="minorHAnsi"/>
          <w:szCs w:val="24"/>
          <w:lang w:val="es-ES"/>
        </w:rPr>
        <w:t>.</w:t>
      </w:r>
    </w:p>
    <w:p w14:paraId="648A09B0" w14:textId="2241B111" w:rsidR="00990450" w:rsidRDefault="00000000">
      <w:pPr>
        <w:spacing w:after="160" w:line="259" w:lineRule="auto"/>
        <w:ind w:firstLine="708"/>
        <w:jc w:val="both"/>
      </w:pPr>
      <w:r>
        <w:rPr>
          <w:rFonts w:eastAsiaTheme="minorHAnsi"/>
          <w:b/>
          <w:bCs/>
          <w:szCs w:val="24"/>
          <w:lang w:val="es-ES"/>
        </w:rPr>
        <w:t>IV. Información y documentación.</w:t>
      </w:r>
      <w:r>
        <w:rPr>
          <w:rFonts w:eastAsiaTheme="minorHAnsi"/>
          <w:szCs w:val="24"/>
          <w:lang w:val="es-ES"/>
        </w:rPr>
        <w:t xml:space="preserve"> Que la parte vendedora ha facilitado a la parte compradora la información sobre el precio y sus condiciones, las características esenciales de la vivienda (superficies, antigüedad, servicios e instalaciones, calificación energética y estado de ocupación) y su situación jurídica (identificación registral, cargas y cuota de participación), en los términos del art</w:t>
      </w:r>
      <w:r w:rsidR="0035602F">
        <w:rPr>
          <w:rFonts w:eastAsiaTheme="minorHAnsi"/>
          <w:szCs w:val="24"/>
          <w:lang w:val="es-ES"/>
        </w:rPr>
        <w:t>.</w:t>
      </w:r>
      <w:r>
        <w:rPr>
          <w:rFonts w:eastAsiaTheme="minorHAnsi"/>
          <w:szCs w:val="24"/>
          <w:lang w:val="es-ES"/>
        </w:rPr>
        <w:t xml:space="preserve"> 15 de la Ley 6/2015, de 24 de marzo, de la Vivienda de la Región de Murcia, así como copia del certificado de eficiencia energética registrado conforme al Real Decreto 390/2021, de 1 de junio (Anexo II), y de la cédula de habitabilidad o documento equivalente (Anexo III).</w:t>
      </w:r>
    </w:p>
    <w:p w14:paraId="1EA28539" w14:textId="77777777" w:rsidR="00990450" w:rsidRDefault="00000000">
      <w:pPr>
        <w:spacing w:after="160" w:line="259" w:lineRule="auto"/>
        <w:ind w:firstLine="708"/>
        <w:jc w:val="both"/>
      </w:pPr>
      <w:r>
        <w:rPr>
          <w:rFonts w:eastAsiaTheme="minorHAnsi"/>
          <w:szCs w:val="24"/>
          <w:lang w:val="es-ES"/>
        </w:rPr>
        <w:t>La parte compradora declara haber visitado la vivienda, conocer su estado y considerarla apta para el uso al que la destina.</w:t>
      </w:r>
    </w:p>
    <w:p w14:paraId="5BDD9ED7" w14:textId="77777777" w:rsidR="00990450" w:rsidRDefault="00000000">
      <w:pPr>
        <w:spacing w:after="160" w:line="259" w:lineRule="auto"/>
        <w:ind w:firstLine="708"/>
        <w:jc w:val="both"/>
      </w:pPr>
      <w:r>
        <w:rPr>
          <w:rFonts w:eastAsiaTheme="minorHAnsi"/>
          <w:i/>
          <w:iCs/>
          <w:color w:val="FF0000"/>
          <w:szCs w:val="24"/>
          <w:lang w:val="es-ES"/>
        </w:rPr>
        <w:t>[Nota para el redactor – eliminar antes de la firma: si la vivienda está fuera de la Región de Murcia, sustitúyase la referencia por la normativa autonómica aplicable. Si es vivienda protegida, compruébense el precio máximo, los derechos de adquisición preferente de la Administración y las autorizaciones exigibles.]</w:t>
      </w:r>
    </w:p>
    <w:p w14:paraId="602394B7" w14:textId="77777777" w:rsidR="00990450" w:rsidRDefault="00000000">
      <w:pPr>
        <w:spacing w:after="160" w:line="259" w:lineRule="auto"/>
        <w:ind w:firstLine="708"/>
        <w:jc w:val="both"/>
      </w:pPr>
      <w:r>
        <w:rPr>
          <w:rFonts w:eastAsiaTheme="minorHAnsi"/>
          <w:b/>
          <w:bCs/>
          <w:szCs w:val="24"/>
          <w:lang w:val="es-ES"/>
        </w:rPr>
        <w:t>V. Antecedentes.</w:t>
      </w:r>
      <w:r>
        <w:rPr>
          <w:rFonts w:eastAsiaTheme="minorHAnsi"/>
          <w:szCs w:val="24"/>
          <w:lang w:val="es-ES"/>
        </w:rPr>
        <w:t xml:space="preserve"> Que </w:t>
      </w:r>
      <w:r>
        <w:rPr>
          <w:rFonts w:eastAsiaTheme="minorHAnsi"/>
          <w:color w:val="FF0000"/>
          <w:szCs w:val="24"/>
          <w:lang w:val="es-ES"/>
        </w:rPr>
        <w:t>con fecha XXX las partes suscribieron un contrato de arras por el que la parte compradora entregó XXX euros, cantidad que se imputa al precio conforme a la cláusula segunda / no existe ningún contrato previo entre las partes</w:t>
      </w:r>
      <w:r>
        <w:rPr>
          <w:rFonts w:eastAsiaTheme="minorHAnsi"/>
          <w:szCs w:val="24"/>
          <w:lang w:val="es-ES"/>
        </w:rPr>
        <w:t>.</w:t>
      </w:r>
    </w:p>
    <w:p w14:paraId="500D1EED" w14:textId="2441757A" w:rsidR="00990450" w:rsidRDefault="00000000">
      <w:pPr>
        <w:spacing w:after="160" w:line="259" w:lineRule="auto"/>
        <w:ind w:firstLine="708"/>
        <w:jc w:val="both"/>
      </w:pPr>
      <w:r>
        <w:rPr>
          <w:rFonts w:eastAsiaTheme="minorHAnsi"/>
          <w:b/>
          <w:bCs/>
          <w:szCs w:val="24"/>
          <w:lang w:val="es-ES"/>
        </w:rPr>
        <w:t>VI. Voluntad de las partes.</w:t>
      </w:r>
      <w:r>
        <w:rPr>
          <w:rFonts w:eastAsiaTheme="minorHAnsi"/>
          <w:szCs w:val="24"/>
          <w:lang w:val="es-ES"/>
        </w:rPr>
        <w:t xml:space="preserve"> Que ambas partes, de mutuo acuerdo, formalizan la compraventa de la finca descrita con sujeción a las siguientes</w:t>
      </w:r>
      <w:r w:rsidR="006947CC">
        <w:rPr>
          <w:rFonts w:eastAsiaTheme="minorHAnsi"/>
          <w:szCs w:val="24"/>
          <w:lang w:val="es-ES"/>
        </w:rPr>
        <w:t>,</w:t>
      </w:r>
    </w:p>
    <w:p w14:paraId="1381F131" w14:textId="77777777" w:rsidR="00990450" w:rsidRDefault="00000000">
      <w:pPr>
        <w:keepNext/>
        <w:jc w:val="center"/>
      </w:pPr>
      <w:r>
        <w:rPr>
          <w:b/>
          <w:sz w:val="28"/>
          <w:szCs w:val="22"/>
        </w:rPr>
        <w:lastRenderedPageBreak/>
        <w:t>CLÁUSULAS</w:t>
      </w:r>
    </w:p>
    <w:p w14:paraId="7B0EA6F6" w14:textId="77777777" w:rsidR="00990450" w:rsidRDefault="00990450"/>
    <w:p w14:paraId="7C28141D" w14:textId="77777777" w:rsidR="00990450" w:rsidRDefault="00000000">
      <w:pPr>
        <w:spacing w:after="160" w:line="259" w:lineRule="auto"/>
        <w:ind w:firstLine="708"/>
        <w:jc w:val="both"/>
      </w:pPr>
      <w:r>
        <w:rPr>
          <w:rFonts w:eastAsiaTheme="minorHAnsi"/>
          <w:b/>
          <w:bCs/>
          <w:szCs w:val="24"/>
          <w:lang w:val="es-ES"/>
        </w:rPr>
        <w:t>PRIMERA. – OBJETO</w:t>
      </w:r>
      <w:r>
        <w:rPr>
          <w:rFonts w:eastAsiaTheme="minorHAnsi"/>
          <w:szCs w:val="24"/>
          <w:lang w:val="es-ES"/>
        </w:rPr>
        <w:t>. La parte vendedora vende a la parte compradora, que compra y adquiere, el pleno dominio de la finca descrita en el expositivo I, con sus anejos, como cuerpo cierto, con cuantos derechos, usos, servidumbres y pertenencias le sean inherentes, libre de cargas, gravámenes, arrendatarios y ocupantes salvo lo indicado en los expositivos II y III, y al corriente en el pago de impuestos, gastos de comunidad y suministros.</w:t>
      </w:r>
    </w:p>
    <w:p w14:paraId="28989A57" w14:textId="77777777" w:rsidR="00990450" w:rsidRDefault="00000000">
      <w:pPr>
        <w:spacing w:after="160" w:line="259" w:lineRule="auto"/>
        <w:ind w:firstLine="708"/>
        <w:jc w:val="both"/>
      </w:pPr>
      <w:r>
        <w:rPr>
          <w:rFonts w:eastAsiaTheme="minorHAnsi"/>
          <w:szCs w:val="24"/>
          <w:lang w:val="es-ES"/>
        </w:rPr>
        <w:t xml:space="preserve">Al venderse por precio alzado y no por unidad de medida, cualquier diferencia entre la superficie real y la expresada en este contrato no alterará el precio (art. 1471 del Código Civil). Se incluyen en la venta, sin incremento de precio, los siguientes elementos de mobiliario y equipamiento: </w:t>
      </w:r>
      <w:r>
        <w:rPr>
          <w:rFonts w:eastAsiaTheme="minorHAnsi"/>
          <w:color w:val="FF0000"/>
          <w:szCs w:val="24"/>
          <w:lang w:val="es-ES"/>
        </w:rPr>
        <w:t>XXX / ninguno</w:t>
      </w:r>
      <w:r>
        <w:rPr>
          <w:rFonts w:eastAsiaTheme="minorHAnsi"/>
          <w:szCs w:val="24"/>
          <w:lang w:val="es-ES"/>
        </w:rPr>
        <w:t>.</w:t>
      </w:r>
    </w:p>
    <w:p w14:paraId="0165D48D" w14:textId="77777777" w:rsidR="00990450" w:rsidRDefault="00000000">
      <w:pPr>
        <w:spacing w:after="160" w:line="259" w:lineRule="auto"/>
        <w:ind w:firstLine="708"/>
        <w:jc w:val="both"/>
      </w:pPr>
      <w:r>
        <w:rPr>
          <w:rFonts w:eastAsiaTheme="minorHAnsi"/>
          <w:b/>
          <w:bCs/>
          <w:szCs w:val="24"/>
          <w:lang w:val="es-ES"/>
        </w:rPr>
        <w:t>SEGUNDA. – PRECIO</w:t>
      </w:r>
      <w:r>
        <w:rPr>
          <w:rFonts w:eastAsiaTheme="minorHAnsi"/>
          <w:szCs w:val="24"/>
          <w:lang w:val="es-ES"/>
        </w:rPr>
        <w:t xml:space="preserve">. El precio de la compraventa se fija en </w:t>
      </w:r>
      <w:r>
        <w:rPr>
          <w:rFonts w:eastAsiaTheme="minorHAnsi"/>
          <w:color w:val="FF0000"/>
          <w:szCs w:val="24"/>
          <w:lang w:val="es-ES"/>
        </w:rPr>
        <w:t>XXX</w:t>
      </w:r>
      <w:r>
        <w:rPr>
          <w:rFonts w:eastAsiaTheme="minorHAnsi"/>
          <w:szCs w:val="24"/>
          <w:lang w:val="es-ES"/>
        </w:rPr>
        <w:t xml:space="preserve"> euros (</w:t>
      </w:r>
      <w:r>
        <w:rPr>
          <w:rFonts w:eastAsiaTheme="minorHAnsi"/>
          <w:color w:val="FF0000"/>
          <w:szCs w:val="24"/>
          <w:lang w:val="es-ES"/>
        </w:rPr>
        <w:t>XXX</w:t>
      </w:r>
      <w:r>
        <w:rPr>
          <w:rFonts w:eastAsiaTheme="minorHAnsi"/>
          <w:szCs w:val="24"/>
          <w:lang w:val="es-ES"/>
        </w:rPr>
        <w:t xml:space="preserve"> €). Este precio </w:t>
      </w:r>
      <w:r>
        <w:rPr>
          <w:rFonts w:eastAsiaTheme="minorHAnsi"/>
          <w:color w:val="FF0000"/>
          <w:szCs w:val="24"/>
          <w:lang w:val="es-ES"/>
        </w:rPr>
        <w:t>no incluye / incluye</w:t>
      </w:r>
      <w:r>
        <w:rPr>
          <w:rFonts w:eastAsiaTheme="minorHAnsi"/>
          <w:szCs w:val="24"/>
          <w:lang w:val="es-ES"/>
        </w:rPr>
        <w:t xml:space="preserve"> el impuesto que grave la operación. La compraventa queda perfeccionada con el acuerdo sobre la cosa y el precio (art. 1450 del Código Civil). El precio se paga de la siguiente forma:</w:t>
      </w:r>
    </w:p>
    <w:p w14:paraId="3A97C9A3" w14:textId="77777777" w:rsidR="00990450" w:rsidRDefault="00000000">
      <w:pPr>
        <w:spacing w:after="160" w:line="259" w:lineRule="auto"/>
        <w:ind w:firstLine="708"/>
        <w:jc w:val="both"/>
      </w:pPr>
      <w:r>
        <w:rPr>
          <w:rFonts w:eastAsiaTheme="minorHAnsi"/>
          <w:szCs w:val="24"/>
          <w:lang w:val="es-ES"/>
        </w:rPr>
        <w:t xml:space="preserve">- </w:t>
      </w:r>
      <w:r>
        <w:rPr>
          <w:rFonts w:eastAsiaTheme="minorHAnsi"/>
          <w:color w:val="FF0000"/>
          <w:szCs w:val="24"/>
          <w:lang w:val="es-ES"/>
        </w:rPr>
        <w:t>XXX</w:t>
      </w:r>
      <w:r>
        <w:rPr>
          <w:rFonts w:eastAsiaTheme="minorHAnsi"/>
          <w:szCs w:val="24"/>
          <w:lang w:val="es-ES"/>
        </w:rPr>
        <w:t xml:space="preserve"> euros, ya entregados en concepto de arras con fecha </w:t>
      </w:r>
      <w:r>
        <w:rPr>
          <w:rFonts w:eastAsiaTheme="minorHAnsi"/>
          <w:color w:val="FF0000"/>
          <w:szCs w:val="24"/>
          <w:lang w:val="es-ES"/>
        </w:rPr>
        <w:t>XXX</w:t>
      </w:r>
      <w:r>
        <w:rPr>
          <w:rFonts w:eastAsiaTheme="minorHAnsi"/>
          <w:szCs w:val="24"/>
          <w:lang w:val="es-ES"/>
        </w:rPr>
        <w:t>, de los que la parte vendedora da carta de pago.</w:t>
      </w:r>
    </w:p>
    <w:p w14:paraId="6C1F56B1" w14:textId="77777777" w:rsidR="00990450" w:rsidRDefault="00000000">
      <w:pPr>
        <w:spacing w:after="160" w:line="259" w:lineRule="auto"/>
        <w:ind w:firstLine="708"/>
        <w:jc w:val="both"/>
      </w:pPr>
      <w:r>
        <w:rPr>
          <w:rFonts w:eastAsiaTheme="minorHAnsi"/>
          <w:szCs w:val="24"/>
          <w:lang w:val="es-ES"/>
        </w:rPr>
        <w:t xml:space="preserve">- </w:t>
      </w:r>
      <w:r>
        <w:rPr>
          <w:rFonts w:eastAsiaTheme="minorHAnsi"/>
          <w:color w:val="FF0000"/>
          <w:szCs w:val="24"/>
          <w:lang w:val="es-ES"/>
        </w:rPr>
        <w:t>XXX</w:t>
      </w:r>
      <w:r>
        <w:rPr>
          <w:rFonts w:eastAsiaTheme="minorHAnsi"/>
          <w:szCs w:val="24"/>
          <w:lang w:val="es-ES"/>
        </w:rPr>
        <w:t xml:space="preserve"> euros, en este acto, mediante </w:t>
      </w:r>
      <w:r>
        <w:rPr>
          <w:rFonts w:eastAsiaTheme="minorHAnsi"/>
          <w:color w:val="FF0000"/>
          <w:szCs w:val="24"/>
          <w:lang w:val="es-ES"/>
        </w:rPr>
        <w:t>transferencia / cheque bancario</w:t>
      </w:r>
      <w:r>
        <w:rPr>
          <w:rFonts w:eastAsiaTheme="minorHAnsi"/>
          <w:szCs w:val="24"/>
          <w:lang w:val="es-ES"/>
        </w:rPr>
        <w:t>, que la parte vendedora declara recibir, sirviendo este documento como carta de pago.</w:t>
      </w:r>
    </w:p>
    <w:p w14:paraId="094DBFDC" w14:textId="77777777" w:rsidR="00990450" w:rsidRDefault="00000000">
      <w:pPr>
        <w:spacing w:after="160" w:line="259" w:lineRule="auto"/>
        <w:ind w:firstLine="708"/>
        <w:jc w:val="both"/>
      </w:pPr>
      <w:r>
        <w:rPr>
          <w:rFonts w:eastAsiaTheme="minorHAnsi"/>
          <w:szCs w:val="24"/>
          <w:lang w:val="es-ES"/>
        </w:rPr>
        <w:t xml:space="preserve">- </w:t>
      </w:r>
      <w:r>
        <w:rPr>
          <w:rFonts w:eastAsiaTheme="minorHAnsi"/>
          <w:color w:val="FF0000"/>
          <w:szCs w:val="24"/>
          <w:lang w:val="es-ES"/>
        </w:rPr>
        <w:t>XXX</w:t>
      </w:r>
      <w:r>
        <w:rPr>
          <w:rFonts w:eastAsiaTheme="minorHAnsi"/>
          <w:szCs w:val="24"/>
          <w:lang w:val="es-ES"/>
        </w:rPr>
        <w:t xml:space="preserve"> euros, resto del precio, en el momento del otorgamiento de la escritura pública, mediante cheque bancario nominativo o transferencia bancaria a la cuenta que designe la parte vendedora.</w:t>
      </w:r>
    </w:p>
    <w:p w14:paraId="06C622A2" w14:textId="77777777" w:rsidR="00990450" w:rsidRDefault="00000000">
      <w:pPr>
        <w:spacing w:after="160" w:line="259" w:lineRule="auto"/>
        <w:ind w:firstLine="708"/>
        <w:jc w:val="both"/>
      </w:pPr>
      <w:r>
        <w:rPr>
          <w:rFonts w:eastAsiaTheme="minorHAnsi"/>
          <w:szCs w:val="24"/>
          <w:lang w:val="es-ES"/>
        </w:rPr>
        <w:t>Todos los pagos se efectuarán por medios bancarios que permitan su identificación, y se harán constar en la escritura pública. Si sobre la finca pesa una hipoteca, de la cantidad pendiente se retendrá el importe necesario para su cancelación económica, que se entregará directamente a la entidad acreedora en el acto del otorgamiento.</w:t>
      </w:r>
    </w:p>
    <w:p w14:paraId="7A2B4DCE" w14:textId="64B7D9E8" w:rsidR="00990450" w:rsidRDefault="00000000">
      <w:pPr>
        <w:spacing w:after="160" w:line="259" w:lineRule="auto"/>
        <w:ind w:firstLine="708"/>
        <w:jc w:val="both"/>
      </w:pPr>
      <w:r>
        <w:rPr>
          <w:rFonts w:eastAsiaTheme="minorHAnsi"/>
          <w:b/>
          <w:bCs/>
          <w:szCs w:val="24"/>
          <w:lang w:val="es-ES"/>
        </w:rPr>
        <w:t>TERCERA. – ESCRITURA PÚBLICA</w:t>
      </w:r>
      <w:r>
        <w:rPr>
          <w:rFonts w:eastAsiaTheme="minorHAnsi"/>
          <w:szCs w:val="24"/>
          <w:lang w:val="es-ES"/>
        </w:rPr>
        <w:t>. Las partes se obligan a elevar este contrato a escritura pública, conforme a los arts</w:t>
      </w:r>
      <w:r w:rsidR="0035602F">
        <w:rPr>
          <w:rFonts w:eastAsiaTheme="minorHAnsi"/>
          <w:szCs w:val="24"/>
          <w:lang w:val="es-ES"/>
        </w:rPr>
        <w:t>.</w:t>
      </w:r>
      <w:r>
        <w:rPr>
          <w:rFonts w:eastAsiaTheme="minorHAnsi"/>
          <w:szCs w:val="24"/>
          <w:lang w:val="es-ES"/>
        </w:rPr>
        <w:t xml:space="preserve"> 1279 y 1280 del Código Civil, como máximo el día </w:t>
      </w:r>
      <w:r>
        <w:rPr>
          <w:rFonts w:eastAsiaTheme="minorHAnsi"/>
          <w:color w:val="FF0000"/>
          <w:szCs w:val="24"/>
          <w:lang w:val="es-ES"/>
        </w:rPr>
        <w:t>XXX</w:t>
      </w:r>
      <w:r>
        <w:rPr>
          <w:rFonts w:eastAsiaTheme="minorHAnsi"/>
          <w:szCs w:val="24"/>
          <w:lang w:val="es-ES"/>
        </w:rPr>
        <w:t>, ante el notario que designe la parte compradora. Esta comunicará a la parte vendedora el día, la hora y la notaría con una antelación mínima de diez días naturales.</w:t>
      </w:r>
    </w:p>
    <w:p w14:paraId="6A54D770" w14:textId="77777777" w:rsidR="00990450" w:rsidRDefault="00000000">
      <w:pPr>
        <w:spacing w:after="160" w:line="259" w:lineRule="auto"/>
        <w:ind w:firstLine="708"/>
        <w:jc w:val="both"/>
      </w:pPr>
      <w:r>
        <w:rPr>
          <w:rFonts w:eastAsiaTheme="minorHAnsi"/>
          <w:szCs w:val="24"/>
          <w:lang w:val="es-ES"/>
        </w:rPr>
        <w:t>Cualquiera de las partes podrá compeler a la otra al otorgamiento de la escritura. La parte que no comparezca sin causa justificada responderá de los daños y perjuicios causados, sin perjuicio de lo previsto en la cláusula undécima.</w:t>
      </w:r>
    </w:p>
    <w:p w14:paraId="53D9CA6A" w14:textId="77777777" w:rsidR="00990450" w:rsidRDefault="00000000">
      <w:pPr>
        <w:spacing w:after="160" w:line="259" w:lineRule="auto"/>
        <w:ind w:firstLine="708"/>
        <w:jc w:val="both"/>
      </w:pPr>
      <w:r>
        <w:rPr>
          <w:rFonts w:eastAsiaTheme="minorHAnsi"/>
          <w:b/>
          <w:bCs/>
          <w:szCs w:val="24"/>
          <w:lang w:val="es-ES"/>
        </w:rPr>
        <w:lastRenderedPageBreak/>
        <w:t>CUARTA. – ENTREGA DE LA POSESIÓN</w:t>
      </w:r>
      <w:r>
        <w:rPr>
          <w:rFonts w:eastAsiaTheme="minorHAnsi"/>
          <w:szCs w:val="24"/>
          <w:lang w:val="es-ES"/>
        </w:rPr>
        <w:t>. La posesión de la vivienda se entregará a la parte compradora en el momento del otorgamiento de la escritura pública, que equivaldrá a la entrega de la cosa vendida (art. 1462 del Código Civil). En ese acto, la parte vendedora entregará todas las llaves, mandos y códigos de acceso, y la vivienda deberá estar libre de ocupantes y de enseres no incluidos en la venta, en el mismo estado en que se encontraba al firmarse este contrato (art. 1468 del Código Civil).</w:t>
      </w:r>
    </w:p>
    <w:p w14:paraId="65371F78" w14:textId="77777777" w:rsidR="00990450" w:rsidRDefault="00000000">
      <w:pPr>
        <w:spacing w:after="160" w:line="259" w:lineRule="auto"/>
        <w:ind w:firstLine="708"/>
        <w:jc w:val="both"/>
      </w:pPr>
      <w:r>
        <w:rPr>
          <w:rFonts w:eastAsiaTheme="minorHAnsi"/>
          <w:szCs w:val="24"/>
          <w:lang w:val="es-ES"/>
        </w:rPr>
        <w:t xml:space="preserve">Hasta la entrega de la posesión, los riesgos y daños de la vivienda serán </w:t>
      </w:r>
      <w:proofErr w:type="spellStart"/>
      <w:r>
        <w:rPr>
          <w:rFonts w:eastAsiaTheme="minorHAnsi"/>
          <w:szCs w:val="24"/>
          <w:lang w:val="es-ES"/>
        </w:rPr>
        <w:t>de</w:t>
      </w:r>
      <w:proofErr w:type="spellEnd"/>
      <w:r>
        <w:rPr>
          <w:rFonts w:eastAsiaTheme="minorHAnsi"/>
          <w:szCs w:val="24"/>
          <w:lang w:val="es-ES"/>
        </w:rPr>
        <w:t xml:space="preserve"> cuenta de la parte vendedora. Si antes de esa fecha sufriera un siniestro que afecte gravemente a su habitabilidad, la parte compradora podrá optar entre resolver el contrato, con devolución de todas las cantidades entregadas, o mantenerlo con una reducción del precio proporcional al daño, fijada de común acuerdo o por perito designado por ambas partes.</w:t>
      </w:r>
    </w:p>
    <w:p w14:paraId="0EBF2C11" w14:textId="77777777" w:rsidR="00990450" w:rsidRDefault="00000000">
      <w:pPr>
        <w:spacing w:after="160" w:line="259" w:lineRule="auto"/>
        <w:ind w:firstLine="708"/>
        <w:jc w:val="both"/>
      </w:pPr>
      <w:r>
        <w:rPr>
          <w:rFonts w:eastAsiaTheme="minorHAnsi"/>
          <w:b/>
          <w:bCs/>
          <w:szCs w:val="24"/>
          <w:lang w:val="es-ES"/>
        </w:rPr>
        <w:t>QUINTA. – SANEAMIENTO POR EVICCIÓN Y POR VICIOS OCULTOS</w:t>
      </w:r>
      <w:r>
        <w:rPr>
          <w:rFonts w:eastAsiaTheme="minorHAnsi"/>
          <w:szCs w:val="24"/>
          <w:lang w:val="es-ES"/>
        </w:rPr>
        <w:t>. La parte vendedora responderá frente a la parte compradora de la posesión legal y pacífica de la vivienda y de los vicios o defectos ocultos que tuviera (art. 1474 del Código Civil), en los términos legales, que las partes no modifican:</w:t>
      </w:r>
    </w:p>
    <w:p w14:paraId="570A4A1D" w14:textId="10C49B08" w:rsidR="00990450" w:rsidRDefault="00000000">
      <w:pPr>
        <w:spacing w:after="160" w:line="259" w:lineRule="auto"/>
        <w:ind w:firstLine="708"/>
        <w:jc w:val="both"/>
      </w:pPr>
      <w:r>
        <w:rPr>
          <w:rFonts w:eastAsiaTheme="minorHAnsi"/>
          <w:szCs w:val="24"/>
          <w:lang w:val="es-ES"/>
        </w:rPr>
        <w:t xml:space="preserve">- </w:t>
      </w:r>
      <w:r>
        <w:rPr>
          <w:rFonts w:eastAsiaTheme="minorHAnsi"/>
          <w:b/>
          <w:bCs/>
          <w:szCs w:val="24"/>
          <w:lang w:val="es-ES"/>
        </w:rPr>
        <w:t>Evicción.</w:t>
      </w:r>
      <w:r>
        <w:rPr>
          <w:rFonts w:eastAsiaTheme="minorHAnsi"/>
          <w:szCs w:val="24"/>
          <w:lang w:val="es-ES"/>
        </w:rPr>
        <w:t xml:space="preserve"> Si la parte compradora fuera privada de todo o parte de la vivienda por sentencia firme en virtud de un derecho anterior a la compra, la parte vendedora responderá en los términos de los arts</w:t>
      </w:r>
      <w:r w:rsidR="0035602F">
        <w:rPr>
          <w:rFonts w:eastAsiaTheme="minorHAnsi"/>
          <w:szCs w:val="24"/>
          <w:lang w:val="es-ES"/>
        </w:rPr>
        <w:t>.</w:t>
      </w:r>
      <w:r>
        <w:rPr>
          <w:rFonts w:eastAsiaTheme="minorHAnsi"/>
          <w:szCs w:val="24"/>
          <w:lang w:val="es-ES"/>
        </w:rPr>
        <w:t xml:space="preserve"> 1475 a 1483 del Código Civil. Para ello, la parte compradora deberá notificarle la demanda (art. 1481).</w:t>
      </w:r>
    </w:p>
    <w:p w14:paraId="40CA0E61" w14:textId="77777777" w:rsidR="00990450" w:rsidRDefault="00000000">
      <w:pPr>
        <w:spacing w:after="160" w:line="259" w:lineRule="auto"/>
        <w:ind w:firstLine="708"/>
        <w:jc w:val="both"/>
      </w:pPr>
      <w:r>
        <w:rPr>
          <w:rFonts w:eastAsiaTheme="minorHAnsi"/>
          <w:szCs w:val="24"/>
          <w:lang w:val="es-ES"/>
        </w:rPr>
        <w:t xml:space="preserve">- </w:t>
      </w:r>
      <w:r>
        <w:rPr>
          <w:rFonts w:eastAsiaTheme="minorHAnsi"/>
          <w:b/>
          <w:bCs/>
          <w:szCs w:val="24"/>
          <w:lang w:val="es-ES"/>
        </w:rPr>
        <w:t>Vicios ocultos.</w:t>
      </w:r>
      <w:r>
        <w:rPr>
          <w:rFonts w:eastAsiaTheme="minorHAnsi"/>
          <w:szCs w:val="24"/>
          <w:lang w:val="es-ES"/>
        </w:rPr>
        <w:t xml:space="preserve"> La parte vendedora responderá de los defectos ocultos que hagan la vivienda impropia para su uso o disminuyan este de tal modo que, de haberlos conocido, la parte compradora no la habría adquirido o habría pagado menos (art. 1484). La parte compradora podrá optar entre desistir del contrato o reducir el precio y, si la parte vendedora los conocía y no los manifestó, ser además indemnizada (art. 1486). Estas acciones caducan a los seis meses desde la entrega de la vivienda (art. 1490).</w:t>
      </w:r>
    </w:p>
    <w:p w14:paraId="229682E5" w14:textId="77777777" w:rsidR="00990450" w:rsidRDefault="00000000">
      <w:pPr>
        <w:spacing w:after="160" w:line="259" w:lineRule="auto"/>
        <w:ind w:firstLine="708"/>
        <w:jc w:val="both"/>
      </w:pPr>
      <w:r>
        <w:rPr>
          <w:rFonts w:eastAsiaTheme="minorHAnsi"/>
          <w:szCs w:val="24"/>
          <w:lang w:val="es-ES"/>
        </w:rPr>
        <w:t xml:space="preserve">La parte vendedora declara no conocer la existencia de vicios o defectos ocultos en la vivienda, ni de patologías estructurales, humedades, plagas o deficiencias en las instalaciones, salvo las siguientes: </w:t>
      </w:r>
      <w:r>
        <w:rPr>
          <w:rFonts w:eastAsiaTheme="minorHAnsi"/>
          <w:color w:val="FF0000"/>
          <w:szCs w:val="24"/>
          <w:lang w:val="es-ES"/>
        </w:rPr>
        <w:t>XXX / ninguna</w:t>
      </w:r>
      <w:r>
        <w:rPr>
          <w:rFonts w:eastAsiaTheme="minorHAnsi"/>
          <w:szCs w:val="24"/>
          <w:lang w:val="es-ES"/>
        </w:rPr>
        <w:t>. La parte compradora acepta el estado aparente de la vivienda, conforme a la visita realizada.</w:t>
      </w:r>
    </w:p>
    <w:p w14:paraId="03285500" w14:textId="387DCD8C" w:rsidR="00990450" w:rsidRDefault="00000000">
      <w:pPr>
        <w:spacing w:after="160" w:line="259" w:lineRule="auto"/>
        <w:ind w:firstLine="708"/>
        <w:jc w:val="both"/>
        <w:rPr>
          <w:rFonts w:eastAsiaTheme="minorHAnsi"/>
          <w:szCs w:val="24"/>
          <w:lang w:val="es-ES"/>
        </w:rPr>
      </w:pPr>
      <w:r>
        <w:rPr>
          <w:rFonts w:eastAsiaTheme="minorHAnsi"/>
          <w:b/>
          <w:bCs/>
          <w:szCs w:val="24"/>
          <w:lang w:val="es-ES"/>
        </w:rPr>
        <w:t>SEXTA. – COMUNIDAD DE PROPIETARIOS, TRIBUTOS Y SUMINISTROS</w:t>
      </w:r>
      <w:r>
        <w:rPr>
          <w:rFonts w:eastAsiaTheme="minorHAnsi"/>
          <w:szCs w:val="24"/>
          <w:lang w:val="es-ES"/>
        </w:rPr>
        <w:t>. La parte vendedora declara hallarse al corriente en el pago de los gastos de la comunidad de propietarios. Aportará en la notaría la certificación del estado de deudas con la comunidad exigida por el art</w:t>
      </w:r>
      <w:r w:rsidR="0035602F">
        <w:rPr>
          <w:rFonts w:eastAsiaTheme="minorHAnsi"/>
          <w:szCs w:val="24"/>
          <w:lang w:val="es-ES"/>
        </w:rPr>
        <w:t>.</w:t>
      </w:r>
      <w:r>
        <w:rPr>
          <w:rFonts w:eastAsiaTheme="minorHAnsi"/>
          <w:szCs w:val="24"/>
          <w:lang w:val="es-ES"/>
        </w:rPr>
        <w:t xml:space="preserve"> 9.1.e) de la Ley 49/1960, sobre Propiedad Horizontal, sin la cual no podrá autorizarse la escritura, salvo que la parte compradora la exonere expresamente.</w:t>
      </w:r>
    </w:p>
    <w:p w14:paraId="29B2D363" w14:textId="77777777" w:rsidR="006947CC" w:rsidRDefault="006947CC">
      <w:pPr>
        <w:spacing w:after="160" w:line="259" w:lineRule="auto"/>
        <w:ind w:firstLine="708"/>
        <w:jc w:val="both"/>
      </w:pPr>
    </w:p>
    <w:p w14:paraId="3D519141" w14:textId="77777777" w:rsidR="00990450" w:rsidRDefault="00000000">
      <w:pPr>
        <w:spacing w:after="160" w:line="259" w:lineRule="auto"/>
        <w:ind w:firstLine="708"/>
        <w:jc w:val="both"/>
      </w:pPr>
      <w:r>
        <w:rPr>
          <w:rFonts w:eastAsiaTheme="minorHAnsi"/>
          <w:szCs w:val="24"/>
          <w:lang w:val="es-ES"/>
        </w:rPr>
        <w:lastRenderedPageBreak/>
        <w:t xml:space="preserve">Las derramas y obras acordadas por la junta de propietarios antes de la fecha de la escritura serán </w:t>
      </w:r>
      <w:proofErr w:type="spellStart"/>
      <w:r>
        <w:rPr>
          <w:rFonts w:eastAsiaTheme="minorHAnsi"/>
          <w:szCs w:val="24"/>
          <w:lang w:val="es-ES"/>
        </w:rPr>
        <w:t>de</w:t>
      </w:r>
      <w:proofErr w:type="spellEnd"/>
      <w:r>
        <w:rPr>
          <w:rFonts w:eastAsiaTheme="minorHAnsi"/>
          <w:szCs w:val="24"/>
          <w:lang w:val="es-ES"/>
        </w:rPr>
        <w:t xml:space="preserve"> cuenta de la parte vendedora, aunque su pago sea exigible después. La parte vendedora declara que, a la fecha de este contrato, </w:t>
      </w:r>
      <w:r>
        <w:rPr>
          <w:rFonts w:eastAsiaTheme="minorHAnsi"/>
          <w:color w:val="FF0000"/>
          <w:szCs w:val="24"/>
          <w:lang w:val="es-ES"/>
        </w:rPr>
        <w:t>no existen derramas acordadas pendientes / existen las siguientes derramas acordadas: XXX</w:t>
      </w:r>
      <w:r>
        <w:rPr>
          <w:rFonts w:eastAsiaTheme="minorHAnsi"/>
          <w:szCs w:val="24"/>
          <w:lang w:val="es-ES"/>
        </w:rPr>
        <w:t>.</w:t>
      </w:r>
    </w:p>
    <w:p w14:paraId="7D3E438D" w14:textId="77777777" w:rsidR="00990450" w:rsidRDefault="00000000">
      <w:pPr>
        <w:spacing w:after="160" w:line="259" w:lineRule="auto"/>
        <w:ind w:firstLine="708"/>
        <w:jc w:val="both"/>
      </w:pPr>
      <w:r>
        <w:rPr>
          <w:rFonts w:eastAsiaTheme="minorHAnsi"/>
          <w:szCs w:val="24"/>
          <w:lang w:val="es-ES"/>
        </w:rPr>
        <w:t xml:space="preserve">El Impuesto sobre Bienes Inmuebles del año de la escritura será de cuenta de </w:t>
      </w:r>
      <w:r>
        <w:rPr>
          <w:rFonts w:eastAsiaTheme="minorHAnsi"/>
          <w:color w:val="FF0000"/>
          <w:szCs w:val="24"/>
          <w:lang w:val="es-ES"/>
        </w:rPr>
        <w:t>la parte vendedora / ambas partes en proporción al tiempo de titularidad de cada una</w:t>
      </w:r>
      <w:r>
        <w:rPr>
          <w:rFonts w:eastAsiaTheme="minorHAnsi"/>
          <w:szCs w:val="24"/>
          <w:lang w:val="es-ES"/>
        </w:rPr>
        <w:t>. Las partes conocen que la finca queda afecta al pago de la totalidad de la cuota de dicho impuesto (art. 64 del texto refundido de la Ley Reguladora de las Haciendas Locales).</w:t>
      </w:r>
    </w:p>
    <w:p w14:paraId="58B2805E" w14:textId="77777777" w:rsidR="00990450" w:rsidRDefault="00000000">
      <w:pPr>
        <w:spacing w:after="160" w:line="259" w:lineRule="auto"/>
        <w:ind w:firstLine="708"/>
        <w:jc w:val="both"/>
      </w:pPr>
      <w:r>
        <w:rPr>
          <w:rFonts w:eastAsiaTheme="minorHAnsi"/>
          <w:szCs w:val="24"/>
          <w:lang w:val="es-ES"/>
        </w:rPr>
        <w:t xml:space="preserve">Los suministros (agua, electricidad, gas, telecomunicaciones) serán </w:t>
      </w:r>
      <w:proofErr w:type="spellStart"/>
      <w:r>
        <w:rPr>
          <w:rFonts w:eastAsiaTheme="minorHAnsi"/>
          <w:szCs w:val="24"/>
          <w:lang w:val="es-ES"/>
        </w:rPr>
        <w:t>de</w:t>
      </w:r>
      <w:proofErr w:type="spellEnd"/>
      <w:r>
        <w:rPr>
          <w:rFonts w:eastAsiaTheme="minorHAnsi"/>
          <w:szCs w:val="24"/>
          <w:lang w:val="es-ES"/>
        </w:rPr>
        <w:t xml:space="preserve"> cuenta de la parte vendedora hasta la entrega de la posesión. Las partes colaborarán para el cambio de titularidad de los contratos a favor de la parte compradora en el plazo de quince días desde la escritura.</w:t>
      </w:r>
    </w:p>
    <w:p w14:paraId="52F371A3" w14:textId="77777777" w:rsidR="00990450" w:rsidRDefault="00000000">
      <w:pPr>
        <w:spacing w:after="160" w:line="259" w:lineRule="auto"/>
        <w:ind w:firstLine="708"/>
        <w:jc w:val="both"/>
      </w:pPr>
      <w:r>
        <w:rPr>
          <w:rFonts w:eastAsiaTheme="minorHAnsi"/>
          <w:b/>
          <w:bCs/>
          <w:szCs w:val="24"/>
          <w:lang w:val="es-ES"/>
        </w:rPr>
        <w:t>SÉPTIMA. – GASTOS E IMPUESTOS</w:t>
      </w:r>
      <w:r>
        <w:rPr>
          <w:rFonts w:eastAsiaTheme="minorHAnsi"/>
          <w:szCs w:val="24"/>
          <w:lang w:val="es-ES"/>
        </w:rPr>
        <w:t>. Los gastos e impuestos derivados de esta compraventa se distribuirán conforme a la ley:</w:t>
      </w:r>
    </w:p>
    <w:p w14:paraId="605B4BBC" w14:textId="77777777" w:rsidR="00990450" w:rsidRDefault="00000000">
      <w:pPr>
        <w:spacing w:after="160" w:line="259" w:lineRule="auto"/>
        <w:ind w:firstLine="708"/>
        <w:jc w:val="both"/>
      </w:pPr>
      <w:r>
        <w:rPr>
          <w:rFonts w:eastAsiaTheme="minorHAnsi"/>
          <w:szCs w:val="24"/>
          <w:lang w:val="es-ES"/>
        </w:rPr>
        <w:t>- Gastos notariales: los de la escritura matriz, de cuenta de la parte vendedora; los de la primera copia y posteriores, de la parte compradora (art. 1455 del Código Civil).</w:t>
      </w:r>
    </w:p>
    <w:p w14:paraId="29755D1D" w14:textId="77777777" w:rsidR="00990450" w:rsidRDefault="00000000">
      <w:pPr>
        <w:spacing w:after="160" w:line="259" w:lineRule="auto"/>
        <w:ind w:firstLine="708"/>
        <w:jc w:val="both"/>
      </w:pPr>
      <w:r>
        <w:rPr>
          <w:rFonts w:eastAsiaTheme="minorHAnsi"/>
          <w:szCs w:val="24"/>
          <w:lang w:val="es-ES"/>
        </w:rPr>
        <w:t xml:space="preserve">- Impuesto sobre el Incremento de Valor de los Terrenos de Naturaleza Urbana: </w:t>
      </w:r>
      <w:proofErr w:type="spellStart"/>
      <w:r>
        <w:rPr>
          <w:rFonts w:eastAsiaTheme="minorHAnsi"/>
          <w:szCs w:val="24"/>
          <w:lang w:val="es-ES"/>
        </w:rPr>
        <w:t>de</w:t>
      </w:r>
      <w:proofErr w:type="spellEnd"/>
      <w:r>
        <w:rPr>
          <w:rFonts w:eastAsiaTheme="minorHAnsi"/>
          <w:szCs w:val="24"/>
          <w:lang w:val="es-ES"/>
        </w:rPr>
        <w:t xml:space="preserve"> cuenta de la parte vendedora, como sujeto pasivo de la transmisión onerosa (art. 106.1.b del texto refundido de la Ley Reguladora de las Haciendas Locales).</w:t>
      </w:r>
    </w:p>
    <w:p w14:paraId="1681F801" w14:textId="77777777" w:rsidR="00990450" w:rsidRDefault="00000000">
      <w:pPr>
        <w:spacing w:after="160" w:line="259" w:lineRule="auto"/>
        <w:ind w:firstLine="708"/>
        <w:jc w:val="both"/>
      </w:pPr>
      <w:r>
        <w:rPr>
          <w:rFonts w:eastAsiaTheme="minorHAnsi"/>
          <w:szCs w:val="24"/>
          <w:lang w:val="es-ES"/>
        </w:rPr>
        <w:t xml:space="preserve">- Impuesto sobre Transmisiones Patrimoniales Onerosas o, si la venta estuviera sujeta y no exenta del Impuesto sobre el Valor Añadido, este impuesto y el de Actos Jurídicos Documentados: </w:t>
      </w:r>
      <w:proofErr w:type="spellStart"/>
      <w:r>
        <w:rPr>
          <w:rFonts w:eastAsiaTheme="minorHAnsi"/>
          <w:szCs w:val="24"/>
          <w:lang w:val="es-ES"/>
        </w:rPr>
        <w:t>de</w:t>
      </w:r>
      <w:proofErr w:type="spellEnd"/>
      <w:r>
        <w:rPr>
          <w:rFonts w:eastAsiaTheme="minorHAnsi"/>
          <w:szCs w:val="24"/>
          <w:lang w:val="es-ES"/>
        </w:rPr>
        <w:t xml:space="preserve"> cuenta de la parte compradora.</w:t>
      </w:r>
    </w:p>
    <w:p w14:paraId="1314095F" w14:textId="77777777" w:rsidR="00990450" w:rsidRDefault="00000000">
      <w:pPr>
        <w:spacing w:after="160" w:line="259" w:lineRule="auto"/>
        <w:ind w:firstLine="708"/>
        <w:jc w:val="both"/>
      </w:pPr>
      <w:r>
        <w:rPr>
          <w:rFonts w:eastAsiaTheme="minorHAnsi"/>
          <w:szCs w:val="24"/>
          <w:lang w:val="es-ES"/>
        </w:rPr>
        <w:t xml:space="preserve">- Inscripción en el Registro de la Propiedad y gestión de la escritura: </w:t>
      </w:r>
      <w:proofErr w:type="spellStart"/>
      <w:r>
        <w:rPr>
          <w:rFonts w:eastAsiaTheme="minorHAnsi"/>
          <w:szCs w:val="24"/>
          <w:lang w:val="es-ES"/>
        </w:rPr>
        <w:t>de</w:t>
      </w:r>
      <w:proofErr w:type="spellEnd"/>
      <w:r>
        <w:rPr>
          <w:rFonts w:eastAsiaTheme="minorHAnsi"/>
          <w:szCs w:val="24"/>
          <w:lang w:val="es-ES"/>
        </w:rPr>
        <w:t xml:space="preserve"> cuenta de la parte compradora.</w:t>
      </w:r>
    </w:p>
    <w:p w14:paraId="02B82E2C" w14:textId="77777777" w:rsidR="00990450" w:rsidRDefault="00000000">
      <w:pPr>
        <w:spacing w:after="160" w:line="259" w:lineRule="auto"/>
        <w:ind w:firstLine="708"/>
        <w:jc w:val="both"/>
      </w:pPr>
      <w:r>
        <w:rPr>
          <w:rFonts w:eastAsiaTheme="minorHAnsi"/>
          <w:szCs w:val="24"/>
          <w:lang w:val="es-ES"/>
        </w:rPr>
        <w:t xml:space="preserve">- Cancelación de cargas, incluida la hipoteca, tanto económica como registral: </w:t>
      </w:r>
      <w:proofErr w:type="spellStart"/>
      <w:r>
        <w:rPr>
          <w:rFonts w:eastAsiaTheme="minorHAnsi"/>
          <w:szCs w:val="24"/>
          <w:lang w:val="es-ES"/>
        </w:rPr>
        <w:t>de</w:t>
      </w:r>
      <w:proofErr w:type="spellEnd"/>
      <w:r>
        <w:rPr>
          <w:rFonts w:eastAsiaTheme="minorHAnsi"/>
          <w:szCs w:val="24"/>
          <w:lang w:val="es-ES"/>
        </w:rPr>
        <w:t xml:space="preserve"> cuenta de la parte vendedora.</w:t>
      </w:r>
    </w:p>
    <w:p w14:paraId="6ED00B59" w14:textId="77777777" w:rsidR="00990450" w:rsidRDefault="00000000">
      <w:pPr>
        <w:spacing w:after="160" w:line="259" w:lineRule="auto"/>
        <w:ind w:firstLine="708"/>
        <w:jc w:val="both"/>
      </w:pPr>
      <w:r>
        <w:rPr>
          <w:rFonts w:eastAsiaTheme="minorHAnsi"/>
          <w:szCs w:val="24"/>
          <w:lang w:val="es-ES"/>
        </w:rPr>
        <w:t>- Honorarios de agencia o intermediación inmobiliaria: de cuenta exclusiva de la parte que la haya contratado.</w:t>
      </w:r>
    </w:p>
    <w:p w14:paraId="3E504C79" w14:textId="77777777" w:rsidR="00990450" w:rsidRDefault="00000000">
      <w:pPr>
        <w:spacing w:after="160" w:line="259" w:lineRule="auto"/>
        <w:ind w:firstLine="708"/>
        <w:jc w:val="both"/>
        <w:rPr>
          <w:rFonts w:eastAsiaTheme="minorHAnsi"/>
          <w:i/>
          <w:iCs/>
          <w:color w:val="FF0000"/>
          <w:szCs w:val="24"/>
          <w:lang w:val="es-ES"/>
        </w:rPr>
      </w:pPr>
      <w:r>
        <w:rPr>
          <w:rFonts w:eastAsiaTheme="minorHAnsi"/>
          <w:i/>
          <w:iCs/>
          <w:color w:val="FF0000"/>
          <w:szCs w:val="24"/>
          <w:lang w:val="es-ES"/>
        </w:rPr>
        <w:t>[Nota para el redactor – eliminar antes de la firma: el Real Decreto-ley 29/2026 actualiza, con efectos desde el 1 de diciembre de 2026, los coeficientes máximos del Impuesto sobre el Incremento de Valor de los Terrenos (art. 10). Si la vendedora transmite a un ente público de vivienda social antes del 31 de diciembre de 2027, puede aplicarse la exención en el IRPF de la nueva disposición adicional sexagésima quinta de la Ley 35/2006, con los requisitos que allí se establecen.]</w:t>
      </w:r>
    </w:p>
    <w:p w14:paraId="3F603A26" w14:textId="77777777" w:rsidR="006947CC" w:rsidRDefault="006947CC">
      <w:pPr>
        <w:spacing w:after="160" w:line="259" w:lineRule="auto"/>
        <w:ind w:firstLine="708"/>
        <w:jc w:val="both"/>
      </w:pPr>
    </w:p>
    <w:p w14:paraId="2992812B" w14:textId="0583B758" w:rsidR="00990450" w:rsidRDefault="00000000">
      <w:pPr>
        <w:spacing w:after="160" w:line="259" w:lineRule="auto"/>
        <w:ind w:firstLine="708"/>
        <w:jc w:val="both"/>
      </w:pPr>
      <w:r>
        <w:rPr>
          <w:rFonts w:eastAsiaTheme="minorHAnsi"/>
          <w:b/>
          <w:bCs/>
          <w:szCs w:val="24"/>
          <w:lang w:val="es-ES"/>
        </w:rPr>
        <w:lastRenderedPageBreak/>
        <w:t>OCTAVA. – VIVIENDA ARRENDADA Y DERECHO DE ADQUISICIÓN PREFERENTE</w:t>
      </w:r>
      <w:r>
        <w:rPr>
          <w:rFonts w:eastAsiaTheme="minorHAnsi"/>
          <w:szCs w:val="24"/>
          <w:lang w:val="es-ES"/>
        </w:rPr>
        <w:t xml:space="preserve">. </w:t>
      </w:r>
      <w:r>
        <w:rPr>
          <w:rFonts w:eastAsiaTheme="minorHAnsi"/>
          <w:color w:val="FF0000"/>
          <w:szCs w:val="24"/>
          <w:lang w:val="es-ES"/>
        </w:rPr>
        <w:t>Solo si la vivienda está arrendada:</w:t>
      </w:r>
      <w:r>
        <w:rPr>
          <w:rFonts w:eastAsiaTheme="minorHAnsi"/>
          <w:szCs w:val="24"/>
          <w:lang w:val="es-ES"/>
        </w:rPr>
        <w:t xml:space="preserve"> La parte vendedora acredita haber notificado de forma fehaciente al arrendatario su decisión de vender, el precio y las demás condiciones esenciales de la venta con fecha </w:t>
      </w:r>
      <w:r>
        <w:rPr>
          <w:rFonts w:eastAsiaTheme="minorHAnsi"/>
          <w:color w:val="FF0000"/>
          <w:szCs w:val="24"/>
          <w:lang w:val="es-ES"/>
        </w:rPr>
        <w:t>XXX</w:t>
      </w:r>
      <w:r>
        <w:rPr>
          <w:rFonts w:eastAsiaTheme="minorHAnsi"/>
          <w:szCs w:val="24"/>
          <w:lang w:val="es-ES"/>
        </w:rPr>
        <w:t>, y que ha transcurrido el plazo de treinta días naturales sin que este haya ejercitado el derecho de tanteo (art. 25 de la Ley 29/1994, de Arrendamientos Urbanos, en la redacción del Real Decreto-ley 29/2026). La parte compradora quedará subrogada en el contrato de arrendamiento en los términos del art</w:t>
      </w:r>
      <w:r w:rsidR="0035602F">
        <w:rPr>
          <w:rFonts w:eastAsiaTheme="minorHAnsi"/>
          <w:szCs w:val="24"/>
          <w:lang w:val="es-ES"/>
        </w:rPr>
        <w:t>.</w:t>
      </w:r>
      <w:r>
        <w:rPr>
          <w:rFonts w:eastAsiaTheme="minorHAnsi"/>
          <w:szCs w:val="24"/>
          <w:lang w:val="es-ES"/>
        </w:rPr>
        <w:t xml:space="preserve"> 14 de dicha ley y se obliga a notificar al arrendatario las condiciones esenciales de la compraventa, entregándole copia de la escritura, a efectos del retracto.</w:t>
      </w:r>
    </w:p>
    <w:p w14:paraId="747225D6" w14:textId="2C585398" w:rsidR="00990450" w:rsidRDefault="00000000">
      <w:pPr>
        <w:spacing w:after="160" w:line="259" w:lineRule="auto"/>
        <w:ind w:firstLine="708"/>
        <w:jc w:val="both"/>
      </w:pPr>
      <w:r>
        <w:rPr>
          <w:rFonts w:eastAsiaTheme="minorHAnsi"/>
          <w:szCs w:val="24"/>
          <w:lang w:val="es-ES"/>
        </w:rPr>
        <w:t>Si la vivienda no está arrendada, la parte vendedora lo declarará así en la escritura, bajo la pena de falsedad en documento público, como exige el art</w:t>
      </w:r>
      <w:r w:rsidR="0035602F">
        <w:rPr>
          <w:rFonts w:eastAsiaTheme="minorHAnsi"/>
          <w:szCs w:val="24"/>
          <w:lang w:val="es-ES"/>
        </w:rPr>
        <w:t>.</w:t>
      </w:r>
      <w:r>
        <w:rPr>
          <w:rFonts w:eastAsiaTheme="minorHAnsi"/>
          <w:szCs w:val="24"/>
          <w:lang w:val="es-ES"/>
        </w:rPr>
        <w:t xml:space="preserve"> 25.5 de la Ley de Arrendamientos Urbanos para la inscripción de la venta.</w:t>
      </w:r>
    </w:p>
    <w:p w14:paraId="5A226D10" w14:textId="7E1052B3" w:rsidR="00990450" w:rsidRDefault="00000000">
      <w:pPr>
        <w:spacing w:after="160" w:line="259" w:lineRule="auto"/>
        <w:ind w:firstLine="708"/>
        <w:jc w:val="both"/>
      </w:pPr>
      <w:r>
        <w:rPr>
          <w:rFonts w:eastAsiaTheme="minorHAnsi"/>
          <w:b/>
          <w:bCs/>
          <w:szCs w:val="24"/>
          <w:lang w:val="es-ES"/>
        </w:rPr>
        <w:t>NOVENA. – DECLARACIÓN DE LA PARTE COMPRADORA SOBRE EL REAL DECRETO-LEY 29/2026</w:t>
      </w:r>
      <w:r>
        <w:rPr>
          <w:rFonts w:eastAsiaTheme="minorHAnsi"/>
          <w:szCs w:val="24"/>
          <w:lang w:val="es-ES"/>
        </w:rPr>
        <w:t xml:space="preserve">. La parte compradora declara que </w:t>
      </w:r>
      <w:r>
        <w:rPr>
          <w:rFonts w:eastAsiaTheme="minorHAnsi"/>
          <w:color w:val="FF0000"/>
          <w:szCs w:val="24"/>
          <w:lang w:val="es-ES"/>
        </w:rPr>
        <w:t>no es / es</w:t>
      </w:r>
      <w:r>
        <w:rPr>
          <w:rFonts w:eastAsiaTheme="minorHAnsi"/>
          <w:szCs w:val="24"/>
          <w:lang w:val="es-ES"/>
        </w:rPr>
        <w:t xml:space="preserve"> una entidad dedicada a adquirir inmuebles o carteras de préstamos hipotecarios impagados por un precio claramente inferior a su valor de tasación, ni una persona jurídica con la condición de gran tenedor de vivienda, ni actúa por cuenta de ellas. Declara asimismo que el precio pactado no es inferior al setenta por ciento del valor de mercado de la vivienda, a los efectos del art</w:t>
      </w:r>
      <w:r w:rsidR="0035602F">
        <w:rPr>
          <w:rFonts w:eastAsiaTheme="minorHAnsi"/>
          <w:szCs w:val="24"/>
          <w:lang w:val="es-ES"/>
        </w:rPr>
        <w:t>.</w:t>
      </w:r>
      <w:r>
        <w:rPr>
          <w:rFonts w:eastAsiaTheme="minorHAnsi"/>
          <w:szCs w:val="24"/>
          <w:lang w:val="es-ES"/>
        </w:rPr>
        <w:t xml:space="preserve"> 1 del Real Decreto-ley 29/2026, de 6 de octubre.</w:t>
      </w:r>
    </w:p>
    <w:p w14:paraId="75BEF56C" w14:textId="7AD3A1E2" w:rsidR="00990450" w:rsidRDefault="00000000">
      <w:pPr>
        <w:spacing w:after="160" w:line="259" w:lineRule="auto"/>
        <w:ind w:firstLine="708"/>
        <w:jc w:val="both"/>
      </w:pPr>
      <w:r>
        <w:rPr>
          <w:rFonts w:eastAsiaTheme="minorHAnsi"/>
          <w:i/>
          <w:iCs/>
          <w:color w:val="FF0000"/>
          <w:szCs w:val="24"/>
          <w:lang w:val="es-ES"/>
        </w:rPr>
        <w:t>[Nota para el redactor – eliminar antes de la firma: hasta el 31 de diciembre de 2030, las entidades del art</w:t>
      </w:r>
      <w:r w:rsidR="0035602F">
        <w:rPr>
          <w:rFonts w:eastAsiaTheme="minorHAnsi"/>
          <w:i/>
          <w:iCs/>
          <w:color w:val="FF0000"/>
          <w:szCs w:val="24"/>
          <w:lang w:val="es-ES"/>
        </w:rPr>
        <w:t>.</w:t>
      </w:r>
      <w:r>
        <w:rPr>
          <w:rFonts w:eastAsiaTheme="minorHAnsi"/>
          <w:i/>
          <w:iCs/>
          <w:color w:val="FF0000"/>
          <w:szCs w:val="24"/>
          <w:lang w:val="es-ES"/>
        </w:rPr>
        <w:t xml:space="preserve"> 1 del Real Decreto-ley 29/2026 no pueden adquirir viviendas por menos del 70 % de su valor de mercado, acreditado por informe de sociedad de tasación homologada, salvo las excepciones de su apartado 2. Su vigencia depende de la convalidación del Congreso.]</w:t>
      </w:r>
    </w:p>
    <w:p w14:paraId="39DA1EAE" w14:textId="77777777" w:rsidR="00990450" w:rsidRDefault="00000000">
      <w:pPr>
        <w:spacing w:after="160" w:line="259" w:lineRule="auto"/>
        <w:ind w:firstLine="708"/>
        <w:jc w:val="both"/>
      </w:pPr>
      <w:r>
        <w:rPr>
          <w:rFonts w:eastAsiaTheme="minorHAnsi"/>
          <w:b/>
          <w:bCs/>
          <w:szCs w:val="24"/>
          <w:lang w:val="es-ES"/>
        </w:rPr>
        <w:t>DÉCIMA. – CONDICIÓN RESOLUTORIA POR FALTA DE PAGO</w:t>
      </w:r>
      <w:r>
        <w:rPr>
          <w:rFonts w:eastAsiaTheme="minorHAnsi"/>
          <w:szCs w:val="24"/>
          <w:lang w:val="es-ES"/>
        </w:rPr>
        <w:t>. Si la parte compradora no pagase el resto del precio en el momento previsto en la cláusula segunda, la parte vendedora podrá optar entre exigir el cumplimiento o resolver la compraventa, con indemnización de daños y perjuicios en ambos casos (art. 1124 del Código Civil).</w:t>
      </w:r>
    </w:p>
    <w:p w14:paraId="7FD7C928" w14:textId="7980A16D" w:rsidR="00990450" w:rsidRDefault="00000000">
      <w:pPr>
        <w:spacing w:after="160" w:line="259" w:lineRule="auto"/>
        <w:ind w:firstLine="708"/>
        <w:jc w:val="both"/>
      </w:pPr>
      <w:r>
        <w:rPr>
          <w:rFonts w:eastAsiaTheme="minorHAnsi"/>
          <w:szCs w:val="24"/>
          <w:lang w:val="es-ES"/>
        </w:rPr>
        <w:t>Las partes pactan que la falta de pago dará lugar a la resolución de pleno derecho de la compraventa. No obstante, conforme al art</w:t>
      </w:r>
      <w:r w:rsidR="0035602F">
        <w:rPr>
          <w:rFonts w:eastAsiaTheme="minorHAnsi"/>
          <w:szCs w:val="24"/>
          <w:lang w:val="es-ES"/>
        </w:rPr>
        <w:t>.</w:t>
      </w:r>
      <w:r>
        <w:rPr>
          <w:rFonts w:eastAsiaTheme="minorHAnsi"/>
          <w:szCs w:val="24"/>
          <w:lang w:val="es-ES"/>
        </w:rPr>
        <w:t xml:space="preserve"> 1504 del Código Civil, la parte compradora podrá pagar aun después de vencido el plazo, mientras no haya sido requerida judicialmente o por acta notarial; hecho el requerimiento, no podrá concedérsele nuevo plazo.</w:t>
      </w:r>
    </w:p>
    <w:p w14:paraId="144CFC78" w14:textId="77777777" w:rsidR="00990450" w:rsidRDefault="00000000">
      <w:pPr>
        <w:spacing w:after="160" w:line="259" w:lineRule="auto"/>
        <w:ind w:firstLine="708"/>
        <w:jc w:val="both"/>
      </w:pPr>
      <w:r>
        <w:rPr>
          <w:rFonts w:eastAsiaTheme="minorHAnsi"/>
          <w:i/>
          <w:iCs/>
          <w:color w:val="FF0000"/>
          <w:szCs w:val="24"/>
          <w:lang w:val="es-ES"/>
        </w:rPr>
        <w:t>[Nota para el redactor – eliminar antes de la firma: si se aplaza parte del precio más allá de la escritura, conviene inscribir esta condición resolutoria en el Registro de la Propiedad (art. 11 de la Ley Hipotecaria) o garantizar el aplazamiento con hipoteca o aval, para que surta efecto frente a terceros.]</w:t>
      </w:r>
    </w:p>
    <w:p w14:paraId="687E41A9" w14:textId="77777777" w:rsidR="00990450" w:rsidRDefault="00000000">
      <w:pPr>
        <w:spacing w:after="160" w:line="259" w:lineRule="auto"/>
        <w:ind w:firstLine="708"/>
        <w:jc w:val="both"/>
      </w:pPr>
      <w:r>
        <w:rPr>
          <w:rFonts w:eastAsiaTheme="minorHAnsi"/>
          <w:b/>
          <w:bCs/>
          <w:szCs w:val="24"/>
          <w:lang w:val="es-ES"/>
        </w:rPr>
        <w:lastRenderedPageBreak/>
        <w:t>UNDÉCIMA. – INCUMPLIMIENTO Y CLÁUSULA PENAL</w:t>
      </w:r>
      <w:r>
        <w:rPr>
          <w:rFonts w:eastAsiaTheme="minorHAnsi"/>
          <w:szCs w:val="24"/>
          <w:lang w:val="es-ES"/>
        </w:rPr>
        <w:t>. Si cualquiera de las partes incumpliera sus obligaciones esenciales, en particular la de otorgar la escritura pública en el plazo pactado, la parte cumplidora podrá exigir el cumplimiento o resolver el contrato (art. 1124 del Código Civil).</w:t>
      </w:r>
    </w:p>
    <w:p w14:paraId="4EA9E7D4" w14:textId="77777777" w:rsidR="00990450" w:rsidRDefault="00000000">
      <w:pPr>
        <w:spacing w:after="160" w:line="259" w:lineRule="auto"/>
        <w:ind w:firstLine="708"/>
        <w:jc w:val="both"/>
      </w:pPr>
      <w:r>
        <w:rPr>
          <w:rFonts w:eastAsiaTheme="minorHAnsi"/>
          <w:szCs w:val="24"/>
          <w:lang w:val="es-ES"/>
        </w:rPr>
        <w:t xml:space="preserve">En caso de resolución por incumplimiento, la parte incumplidora abonará a la cumplidora, en concepto de cláusula penal, una cantidad equivalente al </w:t>
      </w:r>
      <w:r>
        <w:rPr>
          <w:rFonts w:eastAsiaTheme="minorHAnsi"/>
          <w:color w:val="FF0000"/>
          <w:szCs w:val="24"/>
          <w:lang w:val="es-ES"/>
        </w:rPr>
        <w:t>XXX</w:t>
      </w:r>
      <w:r>
        <w:rPr>
          <w:rFonts w:eastAsiaTheme="minorHAnsi"/>
          <w:szCs w:val="24"/>
          <w:lang w:val="es-ES"/>
        </w:rPr>
        <w:t xml:space="preserve"> % del precio, que sustituirá a la indemnización de daños y perjuicios (art. 1152 del Código Civil). Si la incumplidora es la parte vendedora, deberá además devolver todas las cantidades recibidas a cuenta del precio.</w:t>
      </w:r>
    </w:p>
    <w:p w14:paraId="672F9E62" w14:textId="77777777" w:rsidR="00990450" w:rsidRDefault="00000000">
      <w:pPr>
        <w:spacing w:after="160" w:line="259" w:lineRule="auto"/>
        <w:ind w:firstLine="708"/>
        <w:jc w:val="both"/>
      </w:pPr>
      <w:r>
        <w:rPr>
          <w:rFonts w:eastAsiaTheme="minorHAnsi"/>
          <w:b/>
          <w:bCs/>
          <w:szCs w:val="24"/>
          <w:lang w:val="es-ES"/>
        </w:rPr>
        <w:t>DUODÉCIMA. – NOTIFICACIONES</w:t>
      </w:r>
      <w:r>
        <w:rPr>
          <w:rFonts w:eastAsiaTheme="minorHAnsi"/>
          <w:szCs w:val="24"/>
          <w:lang w:val="es-ES"/>
        </w:rPr>
        <w:t>. Las comunicaciones entre las partes se realizarán por escrito, por un medio que deje constancia de su envío, recepción y contenido, a los domicilios o direcciones electrónicas indicados en el encabezamiento. Cualquier cambio deberá notificarse a la otra parte; mientras tanto, serán válidas las comunicaciones dirigidas a los datos anteriores.</w:t>
      </w:r>
    </w:p>
    <w:p w14:paraId="28DC04CC" w14:textId="77777777" w:rsidR="00990450" w:rsidRDefault="00000000">
      <w:pPr>
        <w:spacing w:after="160" w:line="259" w:lineRule="auto"/>
        <w:ind w:firstLine="708"/>
        <w:jc w:val="both"/>
      </w:pPr>
      <w:r>
        <w:rPr>
          <w:rFonts w:eastAsiaTheme="minorHAnsi"/>
          <w:b/>
          <w:bCs/>
          <w:szCs w:val="24"/>
          <w:lang w:val="es-ES"/>
        </w:rPr>
        <w:t>DECIMOTERCERA. – PROTECCIÓN DE DATOS</w:t>
      </w:r>
      <w:r>
        <w:rPr>
          <w:rFonts w:eastAsiaTheme="minorHAnsi"/>
          <w:szCs w:val="24"/>
          <w:lang w:val="es-ES"/>
        </w:rPr>
        <w:t>. Cada parte tratará los datos personales de la otra con la única finalidad de ejecutar esta compraventa y cumplir las obligaciones legales que de ella derivan, conforme al Reglamento (UE) 2016/679 y a la Ley Orgánica 3/2018, de 5 de diciembre. Los datos se comunicarán únicamente al notario, al Registro de la Propiedad, a las entidades financieras, a la Administración tributaria y a los profesionales que intervengan, y se conservarán durante los plazos de prescripción de las acciones derivadas del contrato. Las partes pueden ejercer sus derechos de acceso, rectificación, supresión, limitación, oposición y portabilidad dirigiéndose a la otra parte, y reclamar ante la autoridad de control.</w:t>
      </w:r>
    </w:p>
    <w:p w14:paraId="1BB0CEDE" w14:textId="77777777" w:rsidR="00990450" w:rsidRDefault="00000000">
      <w:pPr>
        <w:spacing w:after="160" w:line="259" w:lineRule="auto"/>
        <w:ind w:firstLine="708"/>
        <w:jc w:val="both"/>
      </w:pPr>
      <w:r>
        <w:rPr>
          <w:rFonts w:eastAsiaTheme="minorHAnsi"/>
          <w:b/>
          <w:bCs/>
          <w:szCs w:val="24"/>
          <w:lang w:val="es-ES"/>
        </w:rPr>
        <w:t>DECIMOCUARTA. – MEDIOS ADECUADOS DE SOLUCIÓN DE CONTROVERSIAS</w:t>
      </w:r>
      <w:r>
        <w:rPr>
          <w:rFonts w:eastAsiaTheme="minorHAnsi"/>
          <w:szCs w:val="24"/>
          <w:lang w:val="es-ES"/>
        </w:rPr>
        <w:t>. Antes de acudir a la vía judicial, cuando la ley lo exija como requisito de procedibilidad, las partes intentarán resolver sus discrepancias mediante alguno de los medios adecuados de solución de controversias previstos en la Ley Orgánica 1/2025, de 2 de enero, y preferentemente mediante oferta vinculante confidencial (art. 17), que podrá formular cualquiera de ellas directamente o a través de abogado. La oferta se remitirá a los datos designados en este contrato y, si no se acepta expresamente en el plazo de un mes, decaerá y quedará cumplido dicho requisito. Cada parte abonará los honorarios de los profesionales que la asistan.</w:t>
      </w:r>
    </w:p>
    <w:p w14:paraId="68FCDC6F" w14:textId="7FD29445" w:rsidR="00990450" w:rsidRDefault="00000000">
      <w:pPr>
        <w:spacing w:after="160" w:line="259" w:lineRule="auto"/>
        <w:ind w:firstLine="708"/>
        <w:jc w:val="both"/>
      </w:pPr>
      <w:r>
        <w:rPr>
          <w:rFonts w:eastAsiaTheme="minorHAnsi"/>
          <w:b/>
          <w:bCs/>
          <w:szCs w:val="24"/>
          <w:lang w:val="es-ES"/>
        </w:rPr>
        <w:t>DECIMOQUINTA. – LEGISLACIÓN APLICABLE Y JURISDICCIÓN</w:t>
      </w:r>
      <w:r>
        <w:rPr>
          <w:rFonts w:eastAsiaTheme="minorHAnsi"/>
          <w:szCs w:val="24"/>
          <w:lang w:val="es-ES"/>
        </w:rPr>
        <w:t>. Este contrato se rige por lo pactado en él y, en lo no previsto, por los arts</w:t>
      </w:r>
      <w:r w:rsidR="0035602F">
        <w:rPr>
          <w:rFonts w:eastAsiaTheme="minorHAnsi"/>
          <w:szCs w:val="24"/>
          <w:lang w:val="es-ES"/>
        </w:rPr>
        <w:t>.</w:t>
      </w:r>
      <w:r>
        <w:rPr>
          <w:rFonts w:eastAsiaTheme="minorHAnsi"/>
          <w:szCs w:val="24"/>
          <w:lang w:val="es-ES"/>
        </w:rPr>
        <w:t xml:space="preserve"> 1445 y siguientes del Código Civil. Para la resolución de cualquier controversia, las partes se someten a los Juzgados y Tribunales del lugar en que radica la finca.</w:t>
      </w:r>
    </w:p>
    <w:p w14:paraId="47A17A98" w14:textId="77777777" w:rsidR="00990450" w:rsidRDefault="00000000">
      <w:pPr>
        <w:spacing w:after="160" w:line="259" w:lineRule="auto"/>
        <w:ind w:firstLine="708"/>
        <w:jc w:val="both"/>
      </w:pPr>
      <w:r>
        <w:rPr>
          <w:rFonts w:eastAsiaTheme="minorHAnsi"/>
          <w:b/>
          <w:bCs/>
          <w:szCs w:val="24"/>
          <w:lang w:val="es-ES"/>
        </w:rPr>
        <w:lastRenderedPageBreak/>
        <w:t>DECIMOSEXTA. – EJEMPLARES Y ANEXOS</w:t>
      </w:r>
      <w:r>
        <w:rPr>
          <w:rFonts w:eastAsiaTheme="minorHAnsi"/>
          <w:szCs w:val="24"/>
          <w:lang w:val="es-ES"/>
        </w:rPr>
        <w:t>. Este contrato se firma por duplicado, a un solo efecto, rubricándose todas sus páginas. Forman parte de él los siguientes anexos:</w:t>
      </w:r>
    </w:p>
    <w:p w14:paraId="18E9051E" w14:textId="77777777" w:rsidR="00990450" w:rsidRDefault="00000000">
      <w:pPr>
        <w:spacing w:after="160" w:line="259" w:lineRule="auto"/>
        <w:ind w:firstLine="708"/>
        <w:jc w:val="both"/>
      </w:pPr>
      <w:r>
        <w:rPr>
          <w:rFonts w:eastAsiaTheme="minorHAnsi"/>
          <w:szCs w:val="24"/>
          <w:lang w:val="es-ES"/>
        </w:rPr>
        <w:t>- Anexo I: nota simple registral actualizada.</w:t>
      </w:r>
    </w:p>
    <w:p w14:paraId="3E7618F4" w14:textId="77777777" w:rsidR="00990450" w:rsidRDefault="00000000">
      <w:pPr>
        <w:spacing w:after="160" w:line="259" w:lineRule="auto"/>
        <w:ind w:firstLine="708"/>
        <w:jc w:val="both"/>
      </w:pPr>
      <w:r>
        <w:rPr>
          <w:rFonts w:eastAsiaTheme="minorHAnsi"/>
          <w:szCs w:val="24"/>
          <w:lang w:val="es-ES"/>
        </w:rPr>
        <w:t>- Anexo II: certificado de eficiencia energética.</w:t>
      </w:r>
    </w:p>
    <w:p w14:paraId="53A8264D" w14:textId="77777777" w:rsidR="00990450" w:rsidRDefault="00000000">
      <w:pPr>
        <w:spacing w:after="160" w:line="259" w:lineRule="auto"/>
        <w:ind w:firstLine="708"/>
        <w:jc w:val="both"/>
      </w:pPr>
      <w:r>
        <w:rPr>
          <w:rFonts w:eastAsiaTheme="minorHAnsi"/>
          <w:szCs w:val="24"/>
          <w:lang w:val="es-ES"/>
        </w:rPr>
        <w:t>- Anexo III: cédula de habitabilidad o documento equivalente.</w:t>
      </w:r>
    </w:p>
    <w:p w14:paraId="74D233C2" w14:textId="77777777" w:rsidR="00990450" w:rsidRDefault="00000000">
      <w:pPr>
        <w:spacing w:after="160" w:line="259" w:lineRule="auto"/>
        <w:ind w:firstLine="708"/>
        <w:jc w:val="both"/>
      </w:pPr>
      <w:r>
        <w:rPr>
          <w:rFonts w:eastAsiaTheme="minorHAnsi"/>
          <w:szCs w:val="24"/>
          <w:lang w:val="es-ES"/>
        </w:rPr>
        <w:t>- Anexo IV: justificantes de los pagos realizados y copia de los documentos de identidad.</w:t>
      </w:r>
    </w:p>
    <w:p w14:paraId="3F1886DF" w14:textId="77777777" w:rsidR="00990450" w:rsidRDefault="00000000">
      <w:pPr>
        <w:spacing w:after="160" w:line="259" w:lineRule="auto"/>
        <w:ind w:firstLine="708"/>
        <w:jc w:val="both"/>
      </w:pPr>
      <w:r>
        <w:rPr>
          <w:rFonts w:eastAsiaTheme="minorHAnsi"/>
          <w:szCs w:val="24"/>
          <w:lang w:val="es-ES"/>
        </w:rPr>
        <w:t>- Anexo V: en su caso, contrato de arrendamiento y justificante de la notificación al arrendatario.</w:t>
      </w:r>
    </w:p>
    <w:p w14:paraId="2AFAFA58" w14:textId="77777777" w:rsidR="00990450" w:rsidRDefault="00990450"/>
    <w:p w14:paraId="7962D9EE" w14:textId="77777777" w:rsidR="00990450" w:rsidRDefault="00000000">
      <w:pPr>
        <w:spacing w:after="160" w:line="259" w:lineRule="auto"/>
        <w:ind w:firstLine="708"/>
        <w:jc w:val="both"/>
        <w:rPr>
          <w:rFonts w:eastAsiaTheme="minorHAnsi"/>
          <w:szCs w:val="24"/>
          <w:lang w:val="es-ES"/>
        </w:rPr>
      </w:pPr>
      <w:r>
        <w:rPr>
          <w:rFonts w:eastAsiaTheme="minorHAnsi"/>
          <w:szCs w:val="24"/>
          <w:lang w:val="es-ES"/>
        </w:rPr>
        <w:t>Y en prueba de su plena conformidad, las partes suscriben este documento en el lugar y la fecha que constan al comienzo.</w:t>
      </w:r>
    </w:p>
    <w:p w14:paraId="4A242F5C" w14:textId="77777777" w:rsidR="0035602F" w:rsidRDefault="0035602F" w:rsidP="006947CC">
      <w:pPr>
        <w:spacing w:after="160" w:line="259" w:lineRule="auto"/>
        <w:ind w:firstLine="708"/>
        <w:jc w:val="both"/>
        <w:rPr>
          <w:b/>
          <w:bCs/>
          <w:lang w:val="es-ES"/>
        </w:rPr>
      </w:pPr>
    </w:p>
    <w:p w14:paraId="10F47ABB" w14:textId="5D561303" w:rsidR="006947CC" w:rsidRPr="006F2F05" w:rsidRDefault="006947CC" w:rsidP="006947CC">
      <w:pPr>
        <w:spacing w:after="160" w:line="259" w:lineRule="auto"/>
        <w:ind w:firstLine="708"/>
        <w:jc w:val="both"/>
        <w:rPr>
          <w:lang w:val="es-ES"/>
        </w:rPr>
      </w:pPr>
      <w:r w:rsidRPr="006F2F05">
        <w:rPr>
          <w:b/>
          <w:bCs/>
          <w:lang w:val="es-ES"/>
        </w:rPr>
        <w:t>ADVERTENCIA</w:t>
      </w:r>
      <w:r>
        <w:rPr>
          <w:lang w:val="es-ES"/>
        </w:rPr>
        <w:t>:</w:t>
      </w:r>
      <w:r w:rsidRPr="006F2F05">
        <w:rPr>
          <w:lang w:val="es-ES"/>
        </w:rPr>
        <w:t xml:space="preserve"> Este documento es una obra original de D. Juan Ángel Pujante Manzano, abogado colegiado n.º 7862 del Ilustre Colegio de la Abogacía de Murcia. Está protegida como creación literaria por el art</w:t>
      </w:r>
      <w:r>
        <w:rPr>
          <w:lang w:val="es-ES"/>
        </w:rPr>
        <w:t>.</w:t>
      </w:r>
      <w:r w:rsidRPr="006F2F05">
        <w:rPr>
          <w:lang w:val="es-ES"/>
        </w:rPr>
        <w:t xml:space="preserve"> 10.1.a) del texto refundido de la Ley de Propiedad Intelectual (TRLPI). La protección alcanza a su redacción, a su estructura y sistemática, y a la selección y disposición de su contenido.</w:t>
      </w:r>
    </w:p>
    <w:p w14:paraId="0E1519A6" w14:textId="2109EFD0" w:rsidR="006947CC" w:rsidRDefault="006947CC" w:rsidP="006947CC">
      <w:pPr>
        <w:spacing w:after="160" w:line="259" w:lineRule="auto"/>
        <w:ind w:firstLine="708"/>
        <w:jc w:val="both"/>
        <w:rPr>
          <w:lang w:val="es-ES"/>
        </w:rPr>
      </w:pPr>
      <w:r w:rsidRPr="006F2F05">
        <w:rPr>
          <w:lang w:val="es-ES"/>
        </w:rPr>
        <w:t xml:space="preserve">Las partes firmantes solo pueden utilizar este documento para formalizar, ejecutar y, en su caso, hacer valer el contrato de </w:t>
      </w:r>
      <w:r w:rsidR="00FC0F49">
        <w:rPr>
          <w:lang w:val="es-ES"/>
        </w:rPr>
        <w:t>compraventa</w:t>
      </w:r>
      <w:r w:rsidRPr="006F2F05">
        <w:rPr>
          <w:lang w:val="es-ES"/>
        </w:rPr>
        <w:t xml:space="preserve"> al que se refiere. Queda prohibida cualquier otra reproducción, total o parcial, así como su distribución, comunicación pública, transformación o adaptación a otros contratos, por cualquier medio o soporte, sin autorización previa y escrita del autor (art. 17 TRLPI). Esta prohibición se extiende expresamente a su uso con fines comerciales o profesionales, con independencia de que quien lo utilice sea o no abogado u otro profesional.</w:t>
      </w:r>
    </w:p>
    <w:p w14:paraId="56609E8A" w14:textId="77777777" w:rsidR="006947CC" w:rsidRDefault="006947CC" w:rsidP="006947CC">
      <w:pPr>
        <w:spacing w:after="160" w:line="259" w:lineRule="auto"/>
        <w:ind w:firstLine="708"/>
        <w:jc w:val="both"/>
        <w:rPr>
          <w:lang w:val="es-ES"/>
        </w:rPr>
      </w:pPr>
      <w:r w:rsidRPr="006F2F05">
        <w:rPr>
          <w:lang w:val="es-ES"/>
        </w:rPr>
        <w:t>La infracción de estos derechos faculta al autor para pedir el cese de la actividad ilícita y la indemnización de los daños materiales y morales causados, incluido el beneficio que haya dejado de obtener (arts. 138 y 140 TRLPI). Si existe ánimo de obtener un beneficio económico directo o indirecto, en perjuicio de tercero, el hecho puede ser constitutivo del delito previsto en el art</w:t>
      </w:r>
      <w:r>
        <w:rPr>
          <w:lang w:val="es-ES"/>
        </w:rPr>
        <w:t>.</w:t>
      </w:r>
      <w:r w:rsidRPr="006F2F05">
        <w:rPr>
          <w:lang w:val="es-ES"/>
        </w:rPr>
        <w:t xml:space="preserve"> 270 del Código Penal.</w:t>
      </w:r>
    </w:p>
    <w:p w14:paraId="53AF032D" w14:textId="77777777" w:rsidR="006947CC" w:rsidRPr="002D54E2" w:rsidRDefault="006947CC" w:rsidP="006947CC">
      <w:pPr>
        <w:spacing w:after="160" w:line="259" w:lineRule="auto"/>
        <w:ind w:firstLine="708"/>
        <w:jc w:val="both"/>
        <w:rPr>
          <w:lang w:val="es-ES"/>
        </w:rPr>
      </w:pPr>
      <w:r w:rsidRPr="002D54E2">
        <w:rPr>
          <w:lang w:val="es-ES"/>
        </w:rPr>
        <w:t xml:space="preserve">Este texto es un modelo de carácter general y orientativo, redactado conforme a la normativa vigente en la fecha de su elaboración. No constituye asesoramiento jurídico personalizado ni sustituye el estudio de cada caso concreto por un profesional. Antes de firmarlo deben comprobarse los datos de las partes y de la vivienda, la normativa </w:t>
      </w:r>
      <w:r w:rsidRPr="002D54E2">
        <w:rPr>
          <w:lang w:val="es-ES"/>
        </w:rPr>
        <w:lastRenderedPageBreak/>
        <w:t>autonómica aplicable y la vigencia de las normas citadas, que pueden ser modificadas, derogadas o no convalidadas después de su redacción.</w:t>
      </w:r>
    </w:p>
    <w:p w14:paraId="6BD4A4F4" w14:textId="6BC32149" w:rsidR="00990450" w:rsidRPr="006947CC" w:rsidRDefault="006947CC" w:rsidP="006947CC">
      <w:pPr>
        <w:spacing w:after="160" w:line="259" w:lineRule="auto"/>
        <w:ind w:firstLine="708"/>
        <w:jc w:val="both"/>
        <w:rPr>
          <w:lang w:val="es-ES"/>
        </w:rPr>
      </w:pPr>
      <w:r w:rsidRPr="002D54E2">
        <w:rPr>
          <w:lang w:val="es-ES"/>
        </w:rPr>
        <w:t>El autor no asume responsabilidad alguna por el uso de este modelo sin su intervención profesional. Tampoco responde de su adaptación o modificación por terceros</w:t>
      </w:r>
      <w:r>
        <w:rPr>
          <w:lang w:val="es-ES"/>
        </w:rPr>
        <w:t xml:space="preserve"> que estarían cometiendo un posible delito</w:t>
      </w:r>
      <w:r w:rsidRPr="002D54E2">
        <w:rPr>
          <w:lang w:val="es-ES"/>
        </w:rPr>
        <w:t xml:space="preserve">, </w:t>
      </w:r>
      <w:r>
        <w:rPr>
          <w:lang w:val="es-ES"/>
        </w:rPr>
        <w:t xml:space="preserve">así como </w:t>
      </w:r>
      <w:r w:rsidRPr="002D54E2">
        <w:rPr>
          <w:lang w:val="es-ES"/>
        </w:rPr>
        <w:t xml:space="preserve">de los datos introducidos por los usuarios </w:t>
      </w:r>
      <w:r>
        <w:rPr>
          <w:lang w:val="es-ES"/>
        </w:rPr>
        <w:t>o</w:t>
      </w:r>
      <w:r w:rsidRPr="002D54E2">
        <w:rPr>
          <w:lang w:val="es-ES"/>
        </w:rPr>
        <w:t xml:space="preserve"> de las consecuencias de cambios normativos o jurisprudenciales posteriores a su redacción.</w:t>
      </w:r>
    </w:p>
    <w:sectPr w:rsidR="00990450" w:rsidRPr="006947CC">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434EA" w14:textId="77777777" w:rsidR="00611F1B" w:rsidRDefault="00611F1B" w:rsidP="00274E79">
      <w:r>
        <w:separator/>
      </w:r>
    </w:p>
  </w:endnote>
  <w:endnote w:type="continuationSeparator" w:id="0">
    <w:p w14:paraId="73692738" w14:textId="77777777" w:rsidR="00611F1B" w:rsidRDefault="00611F1B" w:rsidP="00274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B5708" w14:textId="77777777" w:rsidR="00DB37A5" w:rsidRDefault="00DB37A5">
    <w:pPr>
      <w:pStyle w:val="Piedepgina"/>
    </w:pPr>
  </w:p>
  <w:p w14:paraId="31F6C126" w14:textId="77777777" w:rsidR="00DB37A5" w:rsidRPr="00DB37A5" w:rsidRDefault="00DB37A5">
    <w:pPr>
      <w:pStyle w:val="Piedepgina"/>
      <w:rPr>
        <w:b/>
        <w:bCs/>
      </w:rPr>
    </w:pPr>
    <w:r w:rsidRPr="00DB37A5">
      <w:rPr>
        <w:b/>
        <w:bCs/>
      </w:rPr>
      <w:t>LA PARTE VENDEDORA</w:t>
    </w:r>
    <w:r w:rsidRPr="00DB37A5">
      <w:rPr>
        <w:b/>
        <w:bCs/>
      </w:rPr>
      <w:tab/>
    </w:r>
    <w:r w:rsidRPr="00DB37A5">
      <w:rPr>
        <w:b/>
        <w:bCs/>
      </w:rPr>
      <w:tab/>
    </w:r>
    <w:r>
      <w:rPr>
        <w:b/>
        <w:bCs/>
      </w:rPr>
      <w:t>LA PARTE COMPRADORA</w:t>
    </w:r>
  </w:p>
  <w:p w14:paraId="625CA74B" w14:textId="77777777" w:rsidR="00DB37A5" w:rsidRDefault="00DB37A5">
    <w:pPr>
      <w:pStyle w:val="Piedepgina"/>
    </w:pPr>
  </w:p>
  <w:p w14:paraId="178AD5F2" w14:textId="77777777" w:rsidR="00DB37A5" w:rsidRDefault="00DB37A5">
    <w:pPr>
      <w:pStyle w:val="Piedepgina"/>
    </w:pPr>
  </w:p>
  <w:p w14:paraId="443E5565" w14:textId="77777777" w:rsidR="00DB37A5" w:rsidRDefault="00DB37A5">
    <w:pPr>
      <w:pStyle w:val="Piedepgina"/>
    </w:pPr>
  </w:p>
  <w:p w14:paraId="265ECB2D" w14:textId="77777777" w:rsidR="00DB37A5" w:rsidRDefault="00DB37A5">
    <w:pPr>
      <w:pStyle w:val="Piedepgina"/>
    </w:pPr>
  </w:p>
  <w:p w14:paraId="1DA53BC4" w14:textId="77777777" w:rsidR="00DB37A5" w:rsidRDefault="00DB37A5">
    <w:pPr>
      <w:pStyle w:val="Piedepgina"/>
    </w:pPr>
  </w:p>
  <w:p w14:paraId="66F28D71" w14:textId="77777777" w:rsidR="00DB37A5" w:rsidRDefault="00DB37A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9071F" w14:textId="77777777" w:rsidR="00611F1B" w:rsidRDefault="00611F1B" w:rsidP="00274E79">
      <w:r>
        <w:separator/>
      </w:r>
    </w:p>
  </w:footnote>
  <w:footnote w:type="continuationSeparator" w:id="0">
    <w:p w14:paraId="68AD6BA1" w14:textId="77777777" w:rsidR="00611F1B" w:rsidRDefault="00611F1B" w:rsidP="00274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7427069"/>
      <w:docPartObj>
        <w:docPartGallery w:val="Page Numbers (Margins)"/>
        <w:docPartUnique/>
      </w:docPartObj>
    </w:sdtPr>
    <w:sdtContent>
      <w:p w14:paraId="7DA37621" w14:textId="77777777" w:rsidR="00274E79" w:rsidRDefault="00AE1764">
        <w:pPr>
          <w:pStyle w:val="Encabezado"/>
        </w:pPr>
        <w:r>
          <w:rPr>
            <w:noProof/>
          </w:rPr>
          <mc:AlternateContent>
            <mc:Choice Requires="wps">
              <w:drawing>
                <wp:anchor distT="0" distB="0" distL="114300" distR="114300" simplePos="0" relativeHeight="251659264" behindDoc="0" locked="0" layoutInCell="0" allowOverlap="1" wp14:anchorId="5E70E3D5" wp14:editId="2BE15BB0">
                  <wp:simplePos x="0" y="0"/>
                  <wp:positionH relativeFrom="rightMargin">
                    <wp:align>center</wp:align>
                  </wp:positionH>
                  <wp:positionV relativeFrom="margin">
                    <wp:align>bottom</wp:align>
                  </wp:positionV>
                  <wp:extent cx="510540" cy="2183130"/>
                  <wp:effectExtent l="0" t="0" r="3810" b="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874BB2" w14:textId="77777777" w:rsidR="00AE1764" w:rsidRPr="00AE1764" w:rsidRDefault="00AE1764">
                              <w:pPr>
                                <w:pStyle w:val="Piedepgina"/>
                                <w:rPr>
                                  <w:rFonts w:asciiTheme="majorHAnsi" w:eastAsiaTheme="majorEastAsia" w:hAnsiTheme="majorHAnsi" w:cstheme="majorBidi"/>
                                  <w:b/>
                                  <w:bCs/>
                                  <w:sz w:val="44"/>
                                  <w:szCs w:val="44"/>
                                </w:rPr>
                              </w:pPr>
                              <w:r>
                                <w:rPr>
                                  <w:rFonts w:asciiTheme="majorHAnsi" w:eastAsiaTheme="majorEastAsia" w:hAnsiTheme="majorHAnsi" w:cstheme="majorBidi"/>
                                  <w:b/>
                                  <w:bCs/>
                                  <w:lang w:val="es-ES"/>
                                </w:rPr>
                                <w:tab/>
                              </w:r>
                              <w:r w:rsidRPr="00AE1764">
                                <w:rPr>
                                  <w:rFonts w:asciiTheme="majorHAnsi" w:eastAsiaTheme="majorEastAsia" w:hAnsiTheme="majorHAnsi" w:cstheme="majorBidi"/>
                                  <w:b/>
                                  <w:bCs/>
                                  <w:lang w:val="es-ES"/>
                                </w:rPr>
                                <w:t>Página</w:t>
                              </w:r>
                              <w:r w:rsidRPr="00AE1764">
                                <w:rPr>
                                  <w:rFonts w:asciiTheme="minorHAnsi" w:eastAsiaTheme="minorEastAsia" w:hAnsiTheme="minorHAnsi"/>
                                  <w:b/>
                                  <w:bCs/>
                                  <w:sz w:val="22"/>
                                  <w:szCs w:val="22"/>
                                </w:rPr>
                                <w:fldChar w:fldCharType="begin"/>
                              </w:r>
                              <w:r w:rsidRPr="00AE1764">
                                <w:rPr>
                                  <w:b/>
                                  <w:bCs/>
                                </w:rPr>
                                <w:instrText>PAGE    \* MERGEFORMAT</w:instrText>
                              </w:r>
                              <w:r w:rsidRPr="00AE1764">
                                <w:rPr>
                                  <w:rFonts w:asciiTheme="minorHAnsi" w:eastAsiaTheme="minorEastAsia" w:hAnsiTheme="minorHAnsi"/>
                                  <w:b/>
                                  <w:bCs/>
                                  <w:sz w:val="22"/>
                                  <w:szCs w:val="22"/>
                                </w:rPr>
                                <w:fldChar w:fldCharType="separate"/>
                              </w:r>
                              <w:r w:rsidRPr="00AE1764">
                                <w:rPr>
                                  <w:rFonts w:asciiTheme="majorHAnsi" w:eastAsiaTheme="majorEastAsia" w:hAnsiTheme="majorHAnsi" w:cstheme="majorBidi"/>
                                  <w:b/>
                                  <w:bCs/>
                                  <w:sz w:val="44"/>
                                  <w:szCs w:val="44"/>
                                  <w:lang w:val="es-ES"/>
                                </w:rPr>
                                <w:t>2</w:t>
                              </w:r>
                              <w:r w:rsidRPr="00AE1764">
                                <w:rPr>
                                  <w:rFonts w:asciiTheme="majorHAnsi" w:eastAsiaTheme="majorEastAsia" w:hAnsiTheme="majorHAnsi" w:cstheme="majorBidi"/>
                                  <w:b/>
                                  <w:bCs/>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E70E3D5" id="Rectángulo 2"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7F874BB2" w14:textId="77777777" w:rsidR="00AE1764" w:rsidRPr="00AE1764" w:rsidRDefault="00AE1764">
                        <w:pPr>
                          <w:pStyle w:val="Piedepgina"/>
                          <w:rPr>
                            <w:rFonts w:asciiTheme="majorHAnsi" w:eastAsiaTheme="majorEastAsia" w:hAnsiTheme="majorHAnsi" w:cstheme="majorBidi"/>
                            <w:b/>
                            <w:bCs/>
                            <w:sz w:val="44"/>
                            <w:szCs w:val="44"/>
                          </w:rPr>
                        </w:pPr>
                        <w:r>
                          <w:rPr>
                            <w:rFonts w:asciiTheme="majorHAnsi" w:eastAsiaTheme="majorEastAsia" w:hAnsiTheme="majorHAnsi" w:cstheme="majorBidi"/>
                            <w:b/>
                            <w:bCs/>
                            <w:lang w:val="es-ES"/>
                          </w:rPr>
                          <w:tab/>
                        </w:r>
                        <w:r w:rsidRPr="00AE1764">
                          <w:rPr>
                            <w:rFonts w:asciiTheme="majorHAnsi" w:eastAsiaTheme="majorEastAsia" w:hAnsiTheme="majorHAnsi" w:cstheme="majorBidi"/>
                            <w:b/>
                            <w:bCs/>
                            <w:lang w:val="es-ES"/>
                          </w:rPr>
                          <w:t>Página</w:t>
                        </w:r>
                        <w:r w:rsidRPr="00AE1764">
                          <w:rPr>
                            <w:rFonts w:asciiTheme="minorHAnsi" w:eastAsiaTheme="minorEastAsia" w:hAnsiTheme="minorHAnsi"/>
                            <w:b/>
                            <w:bCs/>
                            <w:sz w:val="22"/>
                            <w:szCs w:val="22"/>
                          </w:rPr>
                          <w:fldChar w:fldCharType="begin"/>
                        </w:r>
                        <w:r w:rsidRPr="00AE1764">
                          <w:rPr>
                            <w:b/>
                            <w:bCs/>
                          </w:rPr>
                          <w:instrText>PAGE    \* MERGEFORMAT</w:instrText>
                        </w:r>
                        <w:r w:rsidRPr="00AE1764">
                          <w:rPr>
                            <w:rFonts w:asciiTheme="minorHAnsi" w:eastAsiaTheme="minorEastAsia" w:hAnsiTheme="minorHAnsi"/>
                            <w:b/>
                            <w:bCs/>
                            <w:sz w:val="22"/>
                            <w:szCs w:val="22"/>
                          </w:rPr>
                          <w:fldChar w:fldCharType="separate"/>
                        </w:r>
                        <w:r w:rsidRPr="00AE1764">
                          <w:rPr>
                            <w:rFonts w:asciiTheme="majorHAnsi" w:eastAsiaTheme="majorEastAsia" w:hAnsiTheme="majorHAnsi" w:cstheme="majorBidi"/>
                            <w:b/>
                            <w:bCs/>
                            <w:sz w:val="44"/>
                            <w:szCs w:val="44"/>
                            <w:lang w:val="es-ES"/>
                          </w:rPr>
                          <w:t>2</w:t>
                        </w:r>
                        <w:r w:rsidRPr="00AE1764">
                          <w:rPr>
                            <w:rFonts w:asciiTheme="majorHAnsi" w:eastAsiaTheme="majorEastAsia" w:hAnsiTheme="majorHAnsi" w:cstheme="majorBidi"/>
                            <w:b/>
                            <w:bCs/>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A40635"/>
    <w:multiLevelType w:val="hybridMultilevel"/>
    <w:tmpl w:val="A7B6858C"/>
    <w:lvl w:ilvl="0" w:tplc="E488F17C">
      <w:start w:val="2"/>
      <w:numFmt w:val="bullet"/>
      <w:lvlText w:val="-"/>
      <w:lvlJc w:val="left"/>
      <w:pPr>
        <w:ind w:left="1068" w:hanging="360"/>
      </w:pPr>
      <w:rPr>
        <w:rFonts w:ascii="Times New Roman" w:eastAsia="Times New Roman"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num w:numId="1" w16cid:durableId="1041055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38A"/>
    <w:rsid w:val="000B0EB6"/>
    <w:rsid w:val="000D58DE"/>
    <w:rsid w:val="000F08F0"/>
    <w:rsid w:val="001503FB"/>
    <w:rsid w:val="00181E5F"/>
    <w:rsid w:val="00184242"/>
    <w:rsid w:val="001E2F0F"/>
    <w:rsid w:val="00211F8F"/>
    <w:rsid w:val="002477E9"/>
    <w:rsid w:val="00274E79"/>
    <w:rsid w:val="00283A7A"/>
    <w:rsid w:val="002914F6"/>
    <w:rsid w:val="002A67A8"/>
    <w:rsid w:val="002B7C5F"/>
    <w:rsid w:val="002D0864"/>
    <w:rsid w:val="00341A85"/>
    <w:rsid w:val="00355824"/>
    <w:rsid w:val="0035602F"/>
    <w:rsid w:val="003628CE"/>
    <w:rsid w:val="003734EF"/>
    <w:rsid w:val="0040400B"/>
    <w:rsid w:val="00470EAA"/>
    <w:rsid w:val="00472715"/>
    <w:rsid w:val="004A1D10"/>
    <w:rsid w:val="004F7355"/>
    <w:rsid w:val="0050524B"/>
    <w:rsid w:val="0053196A"/>
    <w:rsid w:val="00536947"/>
    <w:rsid w:val="005969AE"/>
    <w:rsid w:val="005A2929"/>
    <w:rsid w:val="005C2294"/>
    <w:rsid w:val="005C721A"/>
    <w:rsid w:val="005D06B0"/>
    <w:rsid w:val="00603787"/>
    <w:rsid w:val="00611F1B"/>
    <w:rsid w:val="00632462"/>
    <w:rsid w:val="006737C1"/>
    <w:rsid w:val="006947CC"/>
    <w:rsid w:val="007A3398"/>
    <w:rsid w:val="007E05B6"/>
    <w:rsid w:val="007F40B3"/>
    <w:rsid w:val="00814E4F"/>
    <w:rsid w:val="00820807"/>
    <w:rsid w:val="00827E05"/>
    <w:rsid w:val="008A1A37"/>
    <w:rsid w:val="00916706"/>
    <w:rsid w:val="00990450"/>
    <w:rsid w:val="009D2D84"/>
    <w:rsid w:val="009D5324"/>
    <w:rsid w:val="00A4176E"/>
    <w:rsid w:val="00A92F39"/>
    <w:rsid w:val="00AA0C6D"/>
    <w:rsid w:val="00AB3531"/>
    <w:rsid w:val="00AE1764"/>
    <w:rsid w:val="00AF421E"/>
    <w:rsid w:val="00AF5C9B"/>
    <w:rsid w:val="00B1607E"/>
    <w:rsid w:val="00B22F83"/>
    <w:rsid w:val="00B3076B"/>
    <w:rsid w:val="00B32FDA"/>
    <w:rsid w:val="00B34A6E"/>
    <w:rsid w:val="00B50685"/>
    <w:rsid w:val="00B6638A"/>
    <w:rsid w:val="00B67244"/>
    <w:rsid w:val="00BA5D73"/>
    <w:rsid w:val="00BB4687"/>
    <w:rsid w:val="00C0094B"/>
    <w:rsid w:val="00C33AE6"/>
    <w:rsid w:val="00C71DD8"/>
    <w:rsid w:val="00C71F3B"/>
    <w:rsid w:val="00C739F3"/>
    <w:rsid w:val="00C90ECA"/>
    <w:rsid w:val="00C92A0D"/>
    <w:rsid w:val="00CE6F74"/>
    <w:rsid w:val="00CF546E"/>
    <w:rsid w:val="00D33CF3"/>
    <w:rsid w:val="00D82D94"/>
    <w:rsid w:val="00DA1B1B"/>
    <w:rsid w:val="00DB37A5"/>
    <w:rsid w:val="00DD3029"/>
    <w:rsid w:val="00DE4995"/>
    <w:rsid w:val="00DE5244"/>
    <w:rsid w:val="00E614E0"/>
    <w:rsid w:val="00E82C52"/>
    <w:rsid w:val="00ED6A8D"/>
    <w:rsid w:val="00F06A22"/>
    <w:rsid w:val="00F141E2"/>
    <w:rsid w:val="00F179F3"/>
    <w:rsid w:val="00FC0F49"/>
    <w:rsid w:val="00FF39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60372"/>
  <w15:chartTrackingRefBased/>
  <w15:docId w15:val="{104C654B-D474-48C0-9343-35B2ADB38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E79"/>
    <w:pPr>
      <w:spacing w:after="0" w:line="240" w:lineRule="auto"/>
    </w:pPr>
    <w:rPr>
      <w:rFonts w:ascii="Times New Roman" w:eastAsia="Times New Roman" w:hAnsi="Times New Roman" w:cs="Times New Roman"/>
      <w:sz w:val="24"/>
      <w:szCs w:val="20"/>
      <w:lang w:val="es-ES_tradnl"/>
    </w:rPr>
  </w:style>
  <w:style w:type="paragraph" w:styleId="Ttulo3">
    <w:name w:val="heading 3"/>
    <w:basedOn w:val="Normal"/>
    <w:link w:val="Ttulo3Car"/>
    <w:uiPriority w:val="9"/>
    <w:qFormat/>
    <w:rsid w:val="00283A7A"/>
    <w:pPr>
      <w:spacing w:before="100" w:beforeAutospacing="1" w:after="100" w:afterAutospacing="1"/>
      <w:outlineLvl w:val="2"/>
    </w:pPr>
    <w:rPr>
      <w:b/>
      <w:bCs/>
      <w:sz w:val="27"/>
      <w:szCs w:val="27"/>
      <w:lang w:val="es-ES" w:eastAsia="es-ES"/>
    </w:rPr>
  </w:style>
  <w:style w:type="paragraph" w:styleId="Ttulo5">
    <w:name w:val="heading 5"/>
    <w:basedOn w:val="Normal"/>
    <w:next w:val="Normal"/>
    <w:link w:val="Ttulo5Car"/>
    <w:uiPriority w:val="9"/>
    <w:semiHidden/>
    <w:unhideWhenUsed/>
    <w:qFormat/>
    <w:rsid w:val="00AB3531"/>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74E79"/>
    <w:pPr>
      <w:tabs>
        <w:tab w:val="center" w:pos="4252"/>
        <w:tab w:val="right" w:pos="8504"/>
      </w:tabs>
    </w:pPr>
  </w:style>
  <w:style w:type="character" w:customStyle="1" w:styleId="EncabezadoCar">
    <w:name w:val="Encabezado Car"/>
    <w:basedOn w:val="Fuentedeprrafopredeter"/>
    <w:link w:val="Encabezado"/>
    <w:uiPriority w:val="99"/>
    <w:rsid w:val="00274E79"/>
    <w:rPr>
      <w:rFonts w:ascii="Times New Roman" w:eastAsia="Times New Roman" w:hAnsi="Times New Roman" w:cs="Times New Roman"/>
      <w:sz w:val="24"/>
      <w:szCs w:val="20"/>
      <w:lang w:val="es-ES_tradnl"/>
    </w:rPr>
  </w:style>
  <w:style w:type="paragraph" w:styleId="Piedepgina">
    <w:name w:val="footer"/>
    <w:basedOn w:val="Normal"/>
    <w:link w:val="PiedepginaCar"/>
    <w:uiPriority w:val="99"/>
    <w:unhideWhenUsed/>
    <w:rsid w:val="00274E79"/>
    <w:pPr>
      <w:tabs>
        <w:tab w:val="center" w:pos="4252"/>
        <w:tab w:val="right" w:pos="8504"/>
      </w:tabs>
    </w:pPr>
  </w:style>
  <w:style w:type="character" w:customStyle="1" w:styleId="PiedepginaCar">
    <w:name w:val="Pie de página Car"/>
    <w:basedOn w:val="Fuentedeprrafopredeter"/>
    <w:link w:val="Piedepgina"/>
    <w:uiPriority w:val="99"/>
    <w:rsid w:val="00274E79"/>
    <w:rPr>
      <w:rFonts w:ascii="Times New Roman" w:eastAsia="Times New Roman" w:hAnsi="Times New Roman" w:cs="Times New Roman"/>
      <w:sz w:val="24"/>
      <w:szCs w:val="20"/>
      <w:lang w:val="es-ES_tradnl"/>
    </w:rPr>
  </w:style>
  <w:style w:type="paragraph" w:customStyle="1" w:styleId="Default">
    <w:name w:val="Default"/>
    <w:rsid w:val="00274E79"/>
    <w:pPr>
      <w:autoSpaceDE w:val="0"/>
      <w:autoSpaceDN w:val="0"/>
      <w:adjustRightInd w:val="0"/>
      <w:spacing w:after="0" w:line="240" w:lineRule="auto"/>
    </w:pPr>
    <w:rPr>
      <w:rFonts w:ascii="Calibri" w:hAnsi="Calibri" w:cs="Calibri"/>
      <w:color w:val="000000"/>
      <w:sz w:val="24"/>
      <w:szCs w:val="24"/>
    </w:rPr>
  </w:style>
  <w:style w:type="paragraph" w:styleId="Textonotapie">
    <w:name w:val="footnote text"/>
    <w:basedOn w:val="Normal"/>
    <w:link w:val="TextonotapieCar"/>
    <w:semiHidden/>
    <w:rsid w:val="00DB37A5"/>
    <w:rPr>
      <w:sz w:val="20"/>
    </w:rPr>
  </w:style>
  <w:style w:type="character" w:customStyle="1" w:styleId="TextonotapieCar">
    <w:name w:val="Texto nota pie Car"/>
    <w:basedOn w:val="Fuentedeprrafopredeter"/>
    <w:link w:val="Textonotapie"/>
    <w:semiHidden/>
    <w:rsid w:val="00DB37A5"/>
    <w:rPr>
      <w:rFonts w:ascii="Times New Roman" w:eastAsia="Times New Roman" w:hAnsi="Times New Roman" w:cs="Times New Roman"/>
      <w:sz w:val="20"/>
      <w:szCs w:val="20"/>
      <w:lang w:val="es-ES_tradnl"/>
    </w:rPr>
  </w:style>
  <w:style w:type="character" w:styleId="Refdenotaalpie">
    <w:name w:val="footnote reference"/>
    <w:semiHidden/>
    <w:rsid w:val="00DB37A5"/>
    <w:rPr>
      <w:vertAlign w:val="superscript"/>
    </w:rPr>
  </w:style>
  <w:style w:type="paragraph" w:styleId="Prrafodelista">
    <w:name w:val="List Paragraph"/>
    <w:basedOn w:val="Normal"/>
    <w:uiPriority w:val="34"/>
    <w:qFormat/>
    <w:rsid w:val="00DB37A5"/>
    <w:pPr>
      <w:ind w:left="720"/>
      <w:contextualSpacing/>
    </w:pPr>
  </w:style>
  <w:style w:type="character" w:customStyle="1" w:styleId="hgkelc">
    <w:name w:val="hgkelc"/>
    <w:basedOn w:val="Fuentedeprrafopredeter"/>
    <w:rsid w:val="003734EF"/>
  </w:style>
  <w:style w:type="character" w:customStyle="1" w:styleId="Ttulo3Car">
    <w:name w:val="Título 3 Car"/>
    <w:basedOn w:val="Fuentedeprrafopredeter"/>
    <w:link w:val="Ttulo3"/>
    <w:uiPriority w:val="9"/>
    <w:rsid w:val="00283A7A"/>
    <w:rPr>
      <w:rFonts w:ascii="Times New Roman" w:eastAsia="Times New Roman" w:hAnsi="Times New Roman" w:cs="Times New Roman"/>
      <w:b/>
      <w:bCs/>
      <w:sz w:val="27"/>
      <w:szCs w:val="27"/>
      <w:lang w:eastAsia="es-ES"/>
    </w:rPr>
  </w:style>
  <w:style w:type="character" w:customStyle="1" w:styleId="Ttulo5Car">
    <w:name w:val="Título 5 Car"/>
    <w:basedOn w:val="Fuentedeprrafopredeter"/>
    <w:link w:val="Ttulo5"/>
    <w:uiPriority w:val="9"/>
    <w:semiHidden/>
    <w:rsid w:val="00AB3531"/>
    <w:rPr>
      <w:rFonts w:asciiTheme="majorHAnsi" w:eastAsiaTheme="majorEastAsia" w:hAnsiTheme="majorHAnsi" w:cstheme="majorBidi"/>
      <w:color w:val="2F5496" w:themeColor="accent1" w:themeShade="BF"/>
      <w:sz w:val="24"/>
      <w:szCs w:val="20"/>
      <w:lang w:val="es-ES_tradnl"/>
    </w:rPr>
  </w:style>
  <w:style w:type="paragraph" w:customStyle="1" w:styleId="parrafo">
    <w:name w:val="parrafo"/>
    <w:basedOn w:val="Normal"/>
    <w:rsid w:val="00F179F3"/>
    <w:pPr>
      <w:spacing w:before="100" w:beforeAutospacing="1" w:after="100" w:afterAutospacing="1"/>
    </w:pPr>
    <w:rPr>
      <w:szCs w:val="24"/>
      <w:lang w:val="es-ES" w:eastAsia="es-ES"/>
    </w:rPr>
  </w:style>
  <w:style w:type="paragraph" w:customStyle="1" w:styleId="parrafo2">
    <w:name w:val="parrafo_2"/>
    <w:basedOn w:val="Normal"/>
    <w:rsid w:val="00F179F3"/>
    <w:pPr>
      <w:spacing w:before="100" w:beforeAutospacing="1" w:after="100" w:afterAutospacing="1"/>
    </w:pPr>
    <w:rPr>
      <w:szCs w:val="24"/>
      <w:lang w:val="es-ES" w:eastAsia="es-ES"/>
    </w:rPr>
  </w:style>
  <w:style w:type="paragraph" w:customStyle="1" w:styleId="Standard">
    <w:name w:val="Standard"/>
    <w:rsid w:val="00DE5244"/>
    <w:pPr>
      <w:suppressAutoHyphens/>
      <w:autoSpaceDN w:val="0"/>
      <w:spacing w:after="0" w:line="240" w:lineRule="auto"/>
      <w:textAlignment w:val="baseline"/>
    </w:pPr>
    <w:rPr>
      <w:rFonts w:ascii="Times New Roman" w:eastAsia="Times New Roman" w:hAnsi="Times New Roman" w:cs="Times New Roman"/>
      <w:kern w:val="3"/>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114482">
      <w:bodyDiv w:val="1"/>
      <w:marLeft w:val="0"/>
      <w:marRight w:val="0"/>
      <w:marTop w:val="0"/>
      <w:marBottom w:val="0"/>
      <w:divBdr>
        <w:top w:val="none" w:sz="0" w:space="0" w:color="auto"/>
        <w:left w:val="none" w:sz="0" w:space="0" w:color="auto"/>
        <w:bottom w:val="none" w:sz="0" w:space="0" w:color="auto"/>
        <w:right w:val="none" w:sz="0" w:space="0" w:color="auto"/>
      </w:divBdr>
    </w:div>
    <w:div w:id="670135060">
      <w:bodyDiv w:val="1"/>
      <w:marLeft w:val="0"/>
      <w:marRight w:val="0"/>
      <w:marTop w:val="0"/>
      <w:marBottom w:val="0"/>
      <w:divBdr>
        <w:top w:val="none" w:sz="0" w:space="0" w:color="auto"/>
        <w:left w:val="none" w:sz="0" w:space="0" w:color="auto"/>
        <w:bottom w:val="none" w:sz="0" w:space="0" w:color="auto"/>
        <w:right w:val="none" w:sz="0" w:space="0" w:color="auto"/>
      </w:divBdr>
    </w:div>
    <w:div w:id="805587116">
      <w:bodyDiv w:val="1"/>
      <w:marLeft w:val="0"/>
      <w:marRight w:val="0"/>
      <w:marTop w:val="0"/>
      <w:marBottom w:val="0"/>
      <w:divBdr>
        <w:top w:val="none" w:sz="0" w:space="0" w:color="auto"/>
        <w:left w:val="none" w:sz="0" w:space="0" w:color="auto"/>
        <w:bottom w:val="none" w:sz="0" w:space="0" w:color="auto"/>
        <w:right w:val="none" w:sz="0" w:space="0" w:color="auto"/>
      </w:divBdr>
    </w:div>
    <w:div w:id="1051229322">
      <w:bodyDiv w:val="1"/>
      <w:marLeft w:val="0"/>
      <w:marRight w:val="0"/>
      <w:marTop w:val="0"/>
      <w:marBottom w:val="0"/>
      <w:divBdr>
        <w:top w:val="none" w:sz="0" w:space="0" w:color="auto"/>
        <w:left w:val="none" w:sz="0" w:space="0" w:color="auto"/>
        <w:bottom w:val="none" w:sz="0" w:space="0" w:color="auto"/>
        <w:right w:val="none" w:sz="0" w:space="0" w:color="auto"/>
      </w:divBdr>
    </w:div>
    <w:div w:id="1946107457">
      <w:bodyDiv w:val="1"/>
      <w:marLeft w:val="0"/>
      <w:marRight w:val="0"/>
      <w:marTop w:val="0"/>
      <w:marBottom w:val="0"/>
      <w:divBdr>
        <w:top w:val="none" w:sz="0" w:space="0" w:color="auto"/>
        <w:left w:val="none" w:sz="0" w:space="0" w:color="auto"/>
        <w:bottom w:val="none" w:sz="0" w:space="0" w:color="auto"/>
        <w:right w:val="none" w:sz="0" w:space="0" w:color="auto"/>
      </w:divBdr>
    </w:div>
    <w:div w:id="1974173524">
      <w:bodyDiv w:val="1"/>
      <w:marLeft w:val="0"/>
      <w:marRight w:val="0"/>
      <w:marTop w:val="0"/>
      <w:marBottom w:val="0"/>
      <w:divBdr>
        <w:top w:val="none" w:sz="0" w:space="0" w:color="auto"/>
        <w:left w:val="none" w:sz="0" w:space="0" w:color="auto"/>
        <w:bottom w:val="none" w:sz="0" w:space="0" w:color="auto"/>
        <w:right w:val="none" w:sz="0" w:space="0" w:color="auto"/>
      </w:divBdr>
    </w:div>
    <w:div w:id="1974363077">
      <w:bodyDiv w:val="1"/>
      <w:marLeft w:val="0"/>
      <w:marRight w:val="0"/>
      <w:marTop w:val="0"/>
      <w:marBottom w:val="0"/>
      <w:divBdr>
        <w:top w:val="none" w:sz="0" w:space="0" w:color="auto"/>
        <w:left w:val="none" w:sz="0" w:space="0" w:color="auto"/>
        <w:bottom w:val="none" w:sz="0" w:space="0" w:color="auto"/>
        <w:right w:val="none" w:sz="0" w:space="0" w:color="auto"/>
      </w:divBdr>
    </w:div>
    <w:div w:id="212483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272</TotalTime>
  <Pages>1</Pages>
  <Words>3158</Words>
  <Characters>17369</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privado de compraventa de vivienda</dc:title>
  <dc:subject/>
  <dc:creator>UNIDAD VIRTUAL</dc:creator>
  <cp:keywords/>
  <dc:description/>
  <cp:lastModifiedBy>UNIDAD VIRTUAL</cp:lastModifiedBy>
  <cp:revision>33</cp:revision>
  <dcterms:created xsi:type="dcterms:W3CDTF">2023-01-24T17:11:00Z</dcterms:created>
  <dcterms:modified xsi:type="dcterms:W3CDTF">2026-10-12T20:31:00Z</dcterms:modified>
</cp:coreProperties>
</file>