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482D8" w14:textId="77777777" w:rsidR="002A2593" w:rsidRDefault="00000000">
      <w:pPr>
        <w:jc w:val="center"/>
      </w:pPr>
      <w:r>
        <w:rPr>
          <w:b/>
          <w:sz w:val="32"/>
          <w:szCs w:val="32"/>
        </w:rPr>
        <w:t>CONTRATO DE ARRAS PENITENCIALES PARA LA COMPRAVENTA DE VIVIENDA</w:t>
      </w:r>
    </w:p>
    <w:p w14:paraId="002C9348" w14:textId="77777777" w:rsidR="002A2593" w:rsidRDefault="002A2593"/>
    <w:p w14:paraId="491AD98B" w14:textId="77777777" w:rsidR="002A2593" w:rsidRDefault="002A2593"/>
    <w:p w14:paraId="26187FAB" w14:textId="77777777" w:rsidR="002A2593" w:rsidRDefault="00000000">
      <w:pPr>
        <w:jc w:val="right"/>
      </w:pPr>
      <w:r>
        <w:rPr>
          <w:rFonts w:eastAsiaTheme="minorHAnsi"/>
          <w:szCs w:val="24"/>
          <w:lang w:val="es-ES"/>
        </w:rPr>
        <w:t xml:space="preserve">En </w:t>
      </w:r>
      <w:r>
        <w:rPr>
          <w:rFonts w:eastAsiaTheme="minorHAnsi"/>
          <w:color w:val="FF0000"/>
          <w:szCs w:val="24"/>
          <w:lang w:val="es-ES"/>
        </w:rPr>
        <w:t>XXX</w:t>
      </w:r>
      <w:r>
        <w:rPr>
          <w:rFonts w:eastAsiaTheme="minorHAnsi"/>
          <w:szCs w:val="24"/>
          <w:lang w:val="es-ES"/>
        </w:rPr>
        <w:t xml:space="preserve">, a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de 2026.</w:t>
      </w:r>
    </w:p>
    <w:p w14:paraId="14E680A4" w14:textId="77777777" w:rsidR="002A2593" w:rsidRDefault="002A2593"/>
    <w:p w14:paraId="69E1CBEC" w14:textId="77777777" w:rsidR="002A2593" w:rsidRDefault="002A2593"/>
    <w:p w14:paraId="16590D5B" w14:textId="77777777" w:rsidR="002A2593" w:rsidRDefault="00000000">
      <w:pPr>
        <w:keepNext/>
        <w:jc w:val="center"/>
      </w:pPr>
      <w:r>
        <w:rPr>
          <w:b/>
          <w:sz w:val="28"/>
          <w:szCs w:val="22"/>
        </w:rPr>
        <w:t>REUNIDOS</w:t>
      </w:r>
    </w:p>
    <w:p w14:paraId="71620FC2" w14:textId="77777777" w:rsidR="002A2593" w:rsidRDefault="002A2593"/>
    <w:p w14:paraId="5A036C0D" w14:textId="77777777" w:rsidR="002A2593" w:rsidRDefault="00000000">
      <w:pPr>
        <w:spacing w:after="160" w:line="259" w:lineRule="auto"/>
        <w:ind w:firstLine="708"/>
        <w:jc w:val="both"/>
      </w:pPr>
      <w:r>
        <w:rPr>
          <w:rFonts w:eastAsiaTheme="minorHAnsi"/>
          <w:szCs w:val="24"/>
          <w:lang w:val="es-ES"/>
        </w:rPr>
        <w:t xml:space="preserve">De una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(si está casado, indíquese el régimen económico matrimonial), con domicilio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la parte vendedora</w:t>
      </w:r>
      <w:r>
        <w:rPr>
          <w:rFonts w:eastAsiaTheme="minorHAnsi"/>
          <w:szCs w:val="24"/>
          <w:lang w:val="es-ES"/>
        </w:rPr>
        <w:t xml:space="preserve">). Designa para las comunicaciones derivadas de este contrato el correo electrónico </w:t>
      </w:r>
      <w:r>
        <w:rPr>
          <w:rFonts w:eastAsiaTheme="minorHAnsi"/>
          <w:color w:val="FF0000"/>
          <w:szCs w:val="24"/>
          <w:lang w:val="es-ES"/>
        </w:rPr>
        <w:t>XXX</w:t>
      </w:r>
      <w:r>
        <w:rPr>
          <w:rFonts w:eastAsiaTheme="minorHAnsi"/>
          <w:szCs w:val="24"/>
          <w:lang w:val="es-ES"/>
        </w:rPr>
        <w:t xml:space="preserve"> y el teléfono </w:t>
      </w:r>
      <w:r>
        <w:rPr>
          <w:rFonts w:eastAsiaTheme="minorHAnsi"/>
          <w:color w:val="FF0000"/>
          <w:szCs w:val="24"/>
          <w:lang w:val="es-ES"/>
        </w:rPr>
        <w:t>XXX</w:t>
      </w:r>
      <w:r>
        <w:rPr>
          <w:rFonts w:eastAsiaTheme="minorHAnsi"/>
          <w:szCs w:val="24"/>
          <w:lang w:val="es-ES"/>
        </w:rPr>
        <w:t>.</w:t>
      </w:r>
    </w:p>
    <w:p w14:paraId="50552230" w14:textId="77777777" w:rsidR="002A2593" w:rsidRDefault="00000000">
      <w:pPr>
        <w:spacing w:after="160" w:line="259" w:lineRule="auto"/>
        <w:ind w:firstLine="708"/>
        <w:jc w:val="both"/>
      </w:pPr>
      <w:r>
        <w:rPr>
          <w:rFonts w:eastAsiaTheme="minorHAnsi"/>
          <w:szCs w:val="24"/>
          <w:lang w:val="es-ES"/>
        </w:rPr>
        <w:t xml:space="preserve">De otra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(si está casado, indíquese el régimen económico matrimonial), con domicilio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la parte compradora</w:t>
      </w:r>
      <w:r>
        <w:rPr>
          <w:rFonts w:eastAsiaTheme="minorHAnsi"/>
          <w:szCs w:val="24"/>
          <w:lang w:val="es-ES"/>
        </w:rPr>
        <w:t xml:space="preserve">). Designa para las comunicaciones derivadas de este contrato el correo electrónico </w:t>
      </w:r>
      <w:r>
        <w:rPr>
          <w:rFonts w:eastAsiaTheme="minorHAnsi"/>
          <w:color w:val="FF0000"/>
          <w:szCs w:val="24"/>
          <w:lang w:val="es-ES"/>
        </w:rPr>
        <w:t>XXX</w:t>
      </w:r>
      <w:r>
        <w:rPr>
          <w:rFonts w:eastAsiaTheme="minorHAnsi"/>
          <w:szCs w:val="24"/>
          <w:lang w:val="es-ES"/>
        </w:rPr>
        <w:t xml:space="preserve"> y el teléfono </w:t>
      </w:r>
      <w:r>
        <w:rPr>
          <w:rFonts w:eastAsiaTheme="minorHAnsi"/>
          <w:color w:val="FF0000"/>
          <w:szCs w:val="24"/>
          <w:lang w:val="es-ES"/>
        </w:rPr>
        <w:t>XXX</w:t>
      </w:r>
      <w:r>
        <w:rPr>
          <w:rFonts w:eastAsiaTheme="minorHAnsi"/>
          <w:szCs w:val="24"/>
          <w:lang w:val="es-ES"/>
        </w:rPr>
        <w:t>.</w:t>
      </w:r>
    </w:p>
    <w:p w14:paraId="6D0D61C1" w14:textId="77777777" w:rsidR="002A2593" w:rsidRDefault="00000000">
      <w:pPr>
        <w:spacing w:after="160" w:line="259" w:lineRule="auto"/>
        <w:ind w:firstLine="708"/>
        <w:jc w:val="both"/>
      </w:pPr>
      <w:r>
        <w:rPr>
          <w:rFonts w:eastAsiaTheme="minorHAnsi"/>
          <w:i/>
          <w:iCs/>
          <w:color w:val="FF0000"/>
          <w:szCs w:val="24"/>
          <w:lang w:val="es-ES"/>
        </w:rPr>
        <w:t>[Nota para el redactor – eliminar antes de la firma: si la vivienda es ganancial o vivienda familiar, deben firmar ambos cónyuges (arts. 1377 y 1320 del Código Civil). Si alguna de las partes es persona jurídica o actúa mediante representante, consígnense la denominación, CIF, datos registrales y el poder o cargo del firmante.]</w:t>
      </w:r>
    </w:p>
    <w:p w14:paraId="356C0C8B" w14:textId="77777777" w:rsidR="002A2593" w:rsidRDefault="002A2593"/>
    <w:p w14:paraId="0D2A0BD6" w14:textId="77777777" w:rsidR="002A2593" w:rsidRDefault="00000000">
      <w:pPr>
        <w:keepNext/>
        <w:jc w:val="center"/>
      </w:pPr>
      <w:r>
        <w:rPr>
          <w:b/>
          <w:sz w:val="28"/>
          <w:szCs w:val="22"/>
        </w:rPr>
        <w:t>INTERVIENEN</w:t>
      </w:r>
    </w:p>
    <w:p w14:paraId="2114D454" w14:textId="77777777" w:rsidR="002A2593" w:rsidRDefault="002A2593"/>
    <w:p w14:paraId="37226E36" w14:textId="77777777" w:rsidR="002A2593" w:rsidRDefault="00000000">
      <w:pPr>
        <w:spacing w:after="160" w:line="259" w:lineRule="auto"/>
        <w:ind w:firstLine="708"/>
        <w:jc w:val="both"/>
      </w:pPr>
      <w:r>
        <w:rPr>
          <w:rFonts w:eastAsiaTheme="minorHAnsi"/>
          <w:szCs w:val="24"/>
          <w:lang w:val="es-ES"/>
        </w:rPr>
        <w:t>Cada parte en su propio nombre y derecho. Si cualquiera de ellas estuviera integrada por varias personas, todas quedan obligadas solidariamente por la totalidad de las obligaciones de este contrato.</w:t>
      </w:r>
    </w:p>
    <w:p w14:paraId="3EEAE356" w14:textId="77777777" w:rsidR="002A2593" w:rsidRDefault="00000000">
      <w:pPr>
        <w:spacing w:after="160" w:line="259" w:lineRule="auto"/>
        <w:ind w:firstLine="708"/>
        <w:jc w:val="both"/>
      </w:pPr>
      <w:r>
        <w:rPr>
          <w:rFonts w:eastAsiaTheme="minorHAnsi"/>
          <w:szCs w:val="24"/>
          <w:lang w:val="es-ES"/>
        </w:rPr>
        <w:t>Ambas partes se reconocen capacidad legal bastante para suscribir el presente contrato de arras y, a tal efecto,</w:t>
      </w:r>
    </w:p>
    <w:p w14:paraId="54202C4A" w14:textId="77777777" w:rsidR="002A2593" w:rsidRDefault="002A2593"/>
    <w:p w14:paraId="714FE8BF" w14:textId="77777777" w:rsidR="002A2593" w:rsidRDefault="00000000">
      <w:pPr>
        <w:keepNext/>
        <w:jc w:val="center"/>
      </w:pPr>
      <w:r>
        <w:rPr>
          <w:b/>
          <w:sz w:val="28"/>
          <w:szCs w:val="22"/>
        </w:rPr>
        <w:t>EXPONEN</w:t>
      </w:r>
    </w:p>
    <w:p w14:paraId="21A0EDBC" w14:textId="77777777" w:rsidR="002A2593" w:rsidRDefault="002A2593"/>
    <w:p w14:paraId="35CD1300" w14:textId="77777777" w:rsidR="002A2593" w:rsidRDefault="00000000">
      <w:pPr>
        <w:spacing w:after="160" w:line="259" w:lineRule="auto"/>
        <w:ind w:firstLine="708"/>
        <w:jc w:val="both"/>
      </w:pPr>
      <w:r>
        <w:rPr>
          <w:rFonts w:eastAsiaTheme="minorHAnsi"/>
          <w:b/>
          <w:bCs/>
          <w:szCs w:val="24"/>
          <w:lang w:val="es-ES"/>
        </w:rPr>
        <w:t>I. Titularidad.</w:t>
      </w:r>
      <w:r>
        <w:rPr>
          <w:rFonts w:eastAsiaTheme="minorHAnsi"/>
          <w:szCs w:val="24"/>
          <w:lang w:val="es-ES"/>
        </w:rPr>
        <w:t xml:space="preserve"> Que la parte vendedora es dueña, en pleno dominio y en la proporción de </w:t>
      </w:r>
      <w:r>
        <w:rPr>
          <w:rFonts w:eastAsiaTheme="minorHAnsi"/>
          <w:color w:val="FF0000"/>
          <w:szCs w:val="24"/>
          <w:lang w:val="es-ES"/>
        </w:rPr>
        <w:t>XXX</w:t>
      </w:r>
      <w:r>
        <w:rPr>
          <w:rFonts w:eastAsiaTheme="minorHAnsi"/>
          <w:szCs w:val="24"/>
          <w:lang w:val="es-ES"/>
        </w:rPr>
        <w:t>, de la siguiente finca:</w:t>
      </w:r>
    </w:p>
    <w:p w14:paraId="175EA857" w14:textId="77777777" w:rsidR="002A2593" w:rsidRDefault="00000000">
      <w:pPr>
        <w:spacing w:after="160" w:line="259" w:lineRule="auto"/>
        <w:ind w:firstLine="708"/>
        <w:jc w:val="both"/>
      </w:pPr>
      <w:r>
        <w:rPr>
          <w:rFonts w:eastAsiaTheme="minorHAnsi"/>
          <w:szCs w:val="24"/>
          <w:lang w:val="es-ES"/>
        </w:rPr>
        <w:t xml:space="preserve">Vivienda situada en </w:t>
      </w:r>
      <w:r>
        <w:rPr>
          <w:rFonts w:eastAsiaTheme="minorHAnsi"/>
          <w:color w:val="FF0000"/>
          <w:szCs w:val="24"/>
          <w:lang w:val="es-ES"/>
        </w:rPr>
        <w:t>XXX</w:t>
      </w:r>
      <w:r>
        <w:rPr>
          <w:rFonts w:eastAsiaTheme="minorHAnsi"/>
          <w:szCs w:val="24"/>
          <w:lang w:val="es-ES"/>
        </w:rPr>
        <w:t xml:space="preserve">, con una superficie construida de </w:t>
      </w:r>
      <w:r>
        <w:rPr>
          <w:rFonts w:eastAsiaTheme="minorHAnsi"/>
          <w:color w:val="FF0000"/>
          <w:szCs w:val="24"/>
          <w:lang w:val="es-ES"/>
        </w:rPr>
        <w:t>XXX</w:t>
      </w:r>
      <w:r>
        <w:rPr>
          <w:rFonts w:eastAsiaTheme="minorHAnsi"/>
          <w:szCs w:val="24"/>
          <w:lang w:val="es-ES"/>
        </w:rPr>
        <w:t xml:space="preserve"> m² y útil de </w:t>
      </w:r>
      <w:r>
        <w:rPr>
          <w:rFonts w:eastAsiaTheme="minorHAnsi"/>
          <w:color w:val="FF0000"/>
          <w:szCs w:val="24"/>
          <w:lang w:val="es-ES"/>
        </w:rPr>
        <w:t>XXX</w:t>
      </w:r>
      <w:r>
        <w:rPr>
          <w:rFonts w:eastAsiaTheme="minorHAnsi"/>
          <w:szCs w:val="24"/>
          <w:lang w:val="es-ES"/>
        </w:rPr>
        <w:t xml:space="preserve"> m², compuesta de </w:t>
      </w:r>
      <w:r>
        <w:rPr>
          <w:rFonts w:eastAsiaTheme="minorHAnsi"/>
          <w:color w:val="FF0000"/>
          <w:szCs w:val="24"/>
          <w:lang w:val="es-ES"/>
        </w:rPr>
        <w:t>XXX</w:t>
      </w:r>
      <w:r>
        <w:rPr>
          <w:rFonts w:eastAsiaTheme="minorHAnsi"/>
          <w:szCs w:val="24"/>
          <w:lang w:val="es-ES"/>
        </w:rPr>
        <w:t xml:space="preserve">. Linda: </w:t>
      </w:r>
      <w:r>
        <w:rPr>
          <w:rFonts w:eastAsiaTheme="minorHAnsi"/>
          <w:color w:val="FF0000"/>
          <w:szCs w:val="24"/>
          <w:lang w:val="es-ES"/>
        </w:rPr>
        <w:t>norte, sur, este y oeste</w:t>
      </w:r>
      <w:r>
        <w:rPr>
          <w:rFonts w:eastAsiaTheme="minorHAnsi"/>
          <w:szCs w:val="24"/>
          <w:lang w:val="es-ES"/>
        </w:rPr>
        <w:t xml:space="preserve">. Cuota de participación en los elementos comunes del edificio: </w:t>
      </w:r>
      <w:r>
        <w:rPr>
          <w:rFonts w:eastAsiaTheme="minorHAnsi"/>
          <w:color w:val="FF0000"/>
          <w:szCs w:val="24"/>
          <w:lang w:val="es-ES"/>
        </w:rPr>
        <w:t>XXX</w:t>
      </w:r>
      <w:r>
        <w:rPr>
          <w:rFonts w:eastAsiaTheme="minorHAnsi"/>
          <w:szCs w:val="24"/>
          <w:lang w:val="es-ES"/>
        </w:rPr>
        <w:t xml:space="preserve"> %. Le corresponden como anejos inseparables </w:t>
      </w:r>
      <w:r>
        <w:rPr>
          <w:rFonts w:eastAsiaTheme="minorHAnsi"/>
          <w:color w:val="FF0000"/>
          <w:szCs w:val="24"/>
          <w:lang w:val="es-ES"/>
        </w:rPr>
        <w:t>plaza de garaje n.º XXX / trastero n.º XXX / ninguno</w:t>
      </w:r>
      <w:r>
        <w:rPr>
          <w:rFonts w:eastAsiaTheme="minorHAnsi"/>
          <w:szCs w:val="24"/>
          <w:lang w:val="es-ES"/>
        </w:rPr>
        <w:t>.</w:t>
      </w:r>
    </w:p>
    <w:p w14:paraId="256CD412" w14:textId="77777777" w:rsidR="002A2593" w:rsidRDefault="00000000">
      <w:pPr>
        <w:spacing w:after="160" w:line="259" w:lineRule="auto"/>
        <w:ind w:firstLine="708"/>
        <w:jc w:val="both"/>
      </w:pPr>
      <w:r>
        <w:rPr>
          <w:rFonts w:eastAsiaTheme="minorHAnsi"/>
          <w:szCs w:val="24"/>
          <w:lang w:val="es-ES"/>
        </w:rPr>
        <w:lastRenderedPageBreak/>
        <w:t xml:space="preserve">Inscripción: Registro de la Propiedad n.º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tomo </w:t>
      </w:r>
      <w:r>
        <w:rPr>
          <w:rFonts w:eastAsiaTheme="minorHAnsi"/>
          <w:color w:val="FF0000"/>
          <w:szCs w:val="24"/>
          <w:lang w:val="es-ES"/>
        </w:rPr>
        <w:t>XXX</w:t>
      </w:r>
      <w:r>
        <w:rPr>
          <w:rFonts w:eastAsiaTheme="minorHAnsi"/>
          <w:szCs w:val="24"/>
          <w:lang w:val="es-ES"/>
        </w:rPr>
        <w:t xml:space="preserve">, libro </w:t>
      </w:r>
      <w:r>
        <w:rPr>
          <w:rFonts w:eastAsiaTheme="minorHAnsi"/>
          <w:color w:val="FF0000"/>
          <w:szCs w:val="24"/>
          <w:lang w:val="es-ES"/>
        </w:rPr>
        <w:t>XXX</w:t>
      </w:r>
      <w:r>
        <w:rPr>
          <w:rFonts w:eastAsiaTheme="minorHAnsi"/>
          <w:szCs w:val="24"/>
          <w:lang w:val="es-ES"/>
        </w:rPr>
        <w:t xml:space="preserve">, folio </w:t>
      </w:r>
      <w:r>
        <w:rPr>
          <w:rFonts w:eastAsiaTheme="minorHAnsi"/>
          <w:color w:val="FF0000"/>
          <w:szCs w:val="24"/>
          <w:lang w:val="es-ES"/>
        </w:rPr>
        <w:t>XXX</w:t>
      </w:r>
      <w:r>
        <w:rPr>
          <w:rFonts w:eastAsiaTheme="minorHAnsi"/>
          <w:szCs w:val="24"/>
          <w:lang w:val="es-ES"/>
        </w:rPr>
        <w:t xml:space="preserve">, finca registral n.º </w:t>
      </w:r>
      <w:r>
        <w:rPr>
          <w:rFonts w:eastAsiaTheme="minorHAnsi"/>
          <w:color w:val="FF0000"/>
          <w:szCs w:val="24"/>
          <w:lang w:val="es-ES"/>
        </w:rPr>
        <w:t>XXX</w:t>
      </w:r>
      <w:r>
        <w:rPr>
          <w:rFonts w:eastAsiaTheme="minorHAnsi"/>
          <w:szCs w:val="24"/>
          <w:lang w:val="es-ES"/>
        </w:rPr>
        <w:t xml:space="preserve">. Referencia catastral: </w:t>
      </w:r>
      <w:r>
        <w:rPr>
          <w:rFonts w:eastAsiaTheme="minorHAnsi"/>
          <w:color w:val="FF0000"/>
          <w:szCs w:val="24"/>
          <w:lang w:val="es-ES"/>
        </w:rPr>
        <w:t>XXX</w:t>
      </w:r>
      <w:r>
        <w:rPr>
          <w:rFonts w:eastAsiaTheme="minorHAnsi"/>
          <w:szCs w:val="24"/>
          <w:lang w:val="es-ES"/>
        </w:rPr>
        <w:t>.</w:t>
      </w:r>
    </w:p>
    <w:p w14:paraId="5B106E6F" w14:textId="77777777" w:rsidR="002A2593" w:rsidRDefault="00000000">
      <w:pPr>
        <w:spacing w:after="160" w:line="259" w:lineRule="auto"/>
        <w:ind w:firstLine="708"/>
        <w:jc w:val="both"/>
      </w:pPr>
      <w:r>
        <w:rPr>
          <w:rFonts w:eastAsiaTheme="minorHAnsi"/>
          <w:szCs w:val="24"/>
          <w:lang w:val="es-ES"/>
        </w:rPr>
        <w:t xml:space="preserve">Título: le pertenece por </w:t>
      </w:r>
      <w:r>
        <w:rPr>
          <w:rFonts w:eastAsiaTheme="minorHAnsi"/>
          <w:color w:val="FF0000"/>
          <w:szCs w:val="24"/>
          <w:lang w:val="es-ES"/>
        </w:rPr>
        <w:t>compraventa / herencia / donación / otro</w:t>
      </w:r>
      <w:r>
        <w:rPr>
          <w:rFonts w:eastAsiaTheme="minorHAnsi"/>
          <w:szCs w:val="24"/>
          <w:lang w:val="es-ES"/>
        </w:rPr>
        <w:t xml:space="preserve"> formalizada en escritura otorgada ante el notario de </w:t>
      </w:r>
      <w:r>
        <w:rPr>
          <w:rFonts w:eastAsiaTheme="minorHAnsi"/>
          <w:color w:val="FF0000"/>
          <w:szCs w:val="24"/>
          <w:lang w:val="es-ES"/>
        </w:rPr>
        <w:t>XXX</w:t>
      </w:r>
      <w:r>
        <w:rPr>
          <w:rFonts w:eastAsiaTheme="minorHAnsi"/>
          <w:szCs w:val="24"/>
          <w:lang w:val="es-ES"/>
        </w:rPr>
        <w:t xml:space="preserve">, D./D.ª </w:t>
      </w:r>
      <w:r>
        <w:rPr>
          <w:rFonts w:eastAsiaTheme="minorHAnsi"/>
          <w:color w:val="FF0000"/>
          <w:szCs w:val="24"/>
          <w:lang w:val="es-ES"/>
        </w:rPr>
        <w:t>XXX</w:t>
      </w:r>
      <w:r>
        <w:rPr>
          <w:rFonts w:eastAsiaTheme="minorHAnsi"/>
          <w:szCs w:val="24"/>
          <w:lang w:val="es-ES"/>
        </w:rPr>
        <w:t xml:space="preserve">, el </w:t>
      </w:r>
      <w:r>
        <w:rPr>
          <w:rFonts w:eastAsiaTheme="minorHAnsi"/>
          <w:color w:val="FF0000"/>
          <w:szCs w:val="24"/>
          <w:lang w:val="es-ES"/>
        </w:rPr>
        <w:t>XXX</w:t>
      </w:r>
      <w:r>
        <w:rPr>
          <w:rFonts w:eastAsiaTheme="minorHAnsi"/>
          <w:szCs w:val="24"/>
          <w:lang w:val="es-ES"/>
        </w:rPr>
        <w:t xml:space="preserve">, con el número </w:t>
      </w:r>
      <w:r>
        <w:rPr>
          <w:rFonts w:eastAsiaTheme="minorHAnsi"/>
          <w:color w:val="FF0000"/>
          <w:szCs w:val="24"/>
          <w:lang w:val="es-ES"/>
        </w:rPr>
        <w:t>XXX</w:t>
      </w:r>
      <w:r>
        <w:rPr>
          <w:rFonts w:eastAsiaTheme="minorHAnsi"/>
          <w:szCs w:val="24"/>
          <w:lang w:val="es-ES"/>
        </w:rPr>
        <w:t xml:space="preserve"> de su protocolo.</w:t>
      </w:r>
    </w:p>
    <w:p w14:paraId="2069857F" w14:textId="77777777" w:rsidR="002A2593" w:rsidRDefault="00000000">
      <w:pPr>
        <w:spacing w:after="160" w:line="259" w:lineRule="auto"/>
        <w:ind w:firstLine="708"/>
        <w:jc w:val="both"/>
      </w:pPr>
      <w:r>
        <w:rPr>
          <w:rFonts w:eastAsiaTheme="minorHAnsi"/>
          <w:b/>
          <w:bCs/>
          <w:szCs w:val="24"/>
          <w:lang w:val="es-ES"/>
        </w:rPr>
        <w:t>II. Cargas y situación posesoria.</w:t>
      </w:r>
      <w:r>
        <w:rPr>
          <w:rFonts w:eastAsiaTheme="minorHAnsi"/>
          <w:szCs w:val="24"/>
          <w:lang w:val="es-ES"/>
        </w:rPr>
        <w:t xml:space="preserve"> Que, según manifiesta la parte vendedora y resulta de la nota simple registral de fecha </w:t>
      </w:r>
      <w:r>
        <w:rPr>
          <w:rFonts w:eastAsiaTheme="minorHAnsi"/>
          <w:color w:val="FF0000"/>
          <w:szCs w:val="24"/>
          <w:lang w:val="es-ES"/>
        </w:rPr>
        <w:t>XXX</w:t>
      </w:r>
      <w:r>
        <w:rPr>
          <w:rFonts w:eastAsiaTheme="minorHAnsi"/>
          <w:szCs w:val="24"/>
          <w:lang w:val="es-ES"/>
        </w:rPr>
        <w:t xml:space="preserve"> que se une como Anexo I, la finca se encuentra libre de cargas, gravámenes, limitaciones y afecciones, con excepción de </w:t>
      </w:r>
      <w:r>
        <w:rPr>
          <w:rFonts w:eastAsiaTheme="minorHAnsi"/>
          <w:color w:val="FF0000"/>
          <w:szCs w:val="24"/>
          <w:lang w:val="es-ES"/>
        </w:rPr>
        <w:t>hipoteca a favor de XXX, que garantiza un préstamo con un saldo pendiente aproximado de XXX euros / ninguna</w:t>
      </w:r>
      <w:r>
        <w:rPr>
          <w:rFonts w:eastAsiaTheme="minorHAnsi"/>
          <w:szCs w:val="24"/>
          <w:lang w:val="es-ES"/>
        </w:rPr>
        <w:t xml:space="preserve">. Asimismo, la vivienda </w:t>
      </w:r>
      <w:r>
        <w:rPr>
          <w:rFonts w:eastAsiaTheme="minorHAnsi"/>
          <w:color w:val="FF0000"/>
          <w:szCs w:val="24"/>
          <w:lang w:val="es-ES"/>
        </w:rPr>
        <w:t>está libre de arrendatarios y ocupantes / se encuentra arrendada a XXX en virtud de contrato de fecha XXX</w:t>
      </w:r>
      <w:r>
        <w:rPr>
          <w:rFonts w:eastAsiaTheme="minorHAnsi"/>
          <w:szCs w:val="24"/>
          <w:lang w:val="es-ES"/>
        </w:rPr>
        <w:t>.</w:t>
      </w:r>
    </w:p>
    <w:p w14:paraId="0B332591" w14:textId="1AC1532F" w:rsidR="002A2593" w:rsidRDefault="00000000">
      <w:pPr>
        <w:spacing w:after="160" w:line="259" w:lineRule="auto"/>
        <w:ind w:firstLine="708"/>
        <w:jc w:val="both"/>
      </w:pPr>
      <w:r>
        <w:rPr>
          <w:rFonts w:eastAsiaTheme="minorHAnsi"/>
          <w:b/>
          <w:bCs/>
          <w:szCs w:val="24"/>
          <w:lang w:val="es-ES"/>
        </w:rPr>
        <w:t>III. Documentación e información previa.</w:t>
      </w:r>
      <w:r>
        <w:rPr>
          <w:rFonts w:eastAsiaTheme="minorHAnsi"/>
          <w:szCs w:val="24"/>
          <w:lang w:val="es-ES"/>
        </w:rPr>
        <w:t xml:space="preserve"> Que la parte vendedora ha facilitado a la parte compradora, antes de la firma, la información sobre las condiciones económicas de la venta, las características esenciales de la vivienda (superficies, antigüedad, servicios e instalaciones, calificación energética y estado de ocupación) y su situación jurídica (identificación registral, cargas y cuota de participación) a que se refiere el art</w:t>
      </w:r>
      <w:r w:rsidR="00D4754D">
        <w:rPr>
          <w:rFonts w:eastAsiaTheme="minorHAnsi"/>
          <w:szCs w:val="24"/>
          <w:lang w:val="es-ES"/>
        </w:rPr>
        <w:t>.</w:t>
      </w:r>
      <w:r>
        <w:rPr>
          <w:rFonts w:eastAsiaTheme="minorHAnsi"/>
          <w:szCs w:val="24"/>
          <w:lang w:val="es-ES"/>
        </w:rPr>
        <w:t xml:space="preserve"> 15 de la Ley 6/2015, de 24 de marzo, de la Vivienda de la Región de Murcia, así como copia del certificado de eficiencia energética registrado conforme al Real Decreto 390/2021, de 1 de junio (Anexo II). La parte compradora declara haber visitado la vivienda y conocer su estado.</w:t>
      </w:r>
    </w:p>
    <w:p w14:paraId="4434E9A4" w14:textId="77777777" w:rsidR="002A2593" w:rsidRDefault="00000000">
      <w:pPr>
        <w:spacing w:after="160" w:line="259" w:lineRule="auto"/>
        <w:ind w:firstLine="708"/>
        <w:jc w:val="both"/>
      </w:pPr>
      <w:r>
        <w:rPr>
          <w:rFonts w:eastAsiaTheme="minorHAnsi"/>
          <w:i/>
          <w:iCs/>
          <w:color w:val="FF0000"/>
          <w:szCs w:val="24"/>
          <w:lang w:val="es-ES"/>
        </w:rPr>
        <w:t>[Nota para el redactor – eliminar antes de la firma: si la vivienda está fuera de la Región de Murcia, sustitúyase la referencia a la Ley 6/2015 por la normativa autonómica aplicable. Si se trata de vivienda protegida, compruébense el precio máximo de venta, los derechos de tanteo y retracto de la Administración y las autorizaciones exigibles.]</w:t>
      </w:r>
    </w:p>
    <w:p w14:paraId="3CF41ABC" w14:textId="4D852C41" w:rsidR="002A2593" w:rsidRDefault="00000000">
      <w:pPr>
        <w:spacing w:after="160" w:line="259" w:lineRule="auto"/>
        <w:ind w:firstLine="708"/>
        <w:jc w:val="both"/>
      </w:pPr>
      <w:r>
        <w:rPr>
          <w:rFonts w:eastAsiaTheme="minorHAnsi"/>
          <w:b/>
          <w:bCs/>
          <w:szCs w:val="24"/>
          <w:lang w:val="es-ES"/>
        </w:rPr>
        <w:t>IV. Voluntad de las partes.</w:t>
      </w:r>
      <w:r>
        <w:rPr>
          <w:rFonts w:eastAsiaTheme="minorHAnsi"/>
          <w:szCs w:val="24"/>
          <w:lang w:val="es-ES"/>
        </w:rPr>
        <w:t xml:space="preserve"> Que ambas partes están interesadas en la compraventa de la finca descrita y desean asegurar su celebración mediante la entrega de una cantidad en concepto de arras penitenciales, con sujeción a las siguientes</w:t>
      </w:r>
      <w:r w:rsidR="00D4754D">
        <w:rPr>
          <w:rFonts w:eastAsiaTheme="minorHAnsi"/>
          <w:szCs w:val="24"/>
          <w:lang w:val="es-ES"/>
        </w:rPr>
        <w:t>,</w:t>
      </w:r>
    </w:p>
    <w:p w14:paraId="7BB2762F" w14:textId="77777777" w:rsidR="002A2593" w:rsidRDefault="002A2593"/>
    <w:p w14:paraId="086CEBC1" w14:textId="77777777" w:rsidR="002A2593" w:rsidRDefault="00000000">
      <w:pPr>
        <w:keepNext/>
        <w:jc w:val="center"/>
      </w:pPr>
      <w:r>
        <w:rPr>
          <w:b/>
          <w:sz w:val="28"/>
          <w:szCs w:val="22"/>
        </w:rPr>
        <w:t>CLÁUSULAS</w:t>
      </w:r>
    </w:p>
    <w:p w14:paraId="559CF632" w14:textId="77777777" w:rsidR="002A2593" w:rsidRDefault="002A2593"/>
    <w:p w14:paraId="019DC704" w14:textId="77777777" w:rsidR="002A2593" w:rsidRDefault="00000000">
      <w:pPr>
        <w:spacing w:after="160" w:line="259" w:lineRule="auto"/>
        <w:ind w:firstLine="708"/>
        <w:jc w:val="both"/>
      </w:pPr>
      <w:r>
        <w:rPr>
          <w:rFonts w:eastAsiaTheme="minorHAnsi"/>
          <w:b/>
          <w:bCs/>
          <w:szCs w:val="24"/>
          <w:lang w:val="es-ES"/>
        </w:rPr>
        <w:t>PRIMERA. – OBJETO</w:t>
      </w:r>
      <w:r>
        <w:rPr>
          <w:rFonts w:eastAsiaTheme="minorHAnsi"/>
          <w:szCs w:val="24"/>
          <w:lang w:val="es-ES"/>
        </w:rPr>
        <w:t>. La parte vendedora se obliga a vender y la parte compradora a comprar la finca descrita en el expositivo I, con sus anejos, como cuerpo cierto, con cuantos derechos, usos, servidumbres y pertenencias le sean inherentes, libre de cargas, gravámenes, arrendatarios y ocupantes, y al corriente en el pago de impuestos, gastos de comunidad y suministros, en los términos de este contrato.</w:t>
      </w:r>
    </w:p>
    <w:p w14:paraId="1CE898AE" w14:textId="77777777" w:rsidR="002A2593" w:rsidRDefault="00000000">
      <w:pPr>
        <w:spacing w:after="160" w:line="259" w:lineRule="auto"/>
        <w:ind w:firstLine="708"/>
        <w:jc w:val="both"/>
      </w:pPr>
      <w:r>
        <w:rPr>
          <w:rFonts w:eastAsiaTheme="minorHAnsi"/>
          <w:szCs w:val="24"/>
          <w:lang w:val="es-ES"/>
        </w:rPr>
        <w:t xml:space="preserve">Se incluyen en la venta, sin incremento de precio, los siguientes elementos de mobiliario y equipamiento: </w:t>
      </w:r>
      <w:r>
        <w:rPr>
          <w:rFonts w:eastAsiaTheme="minorHAnsi"/>
          <w:color w:val="FF0000"/>
          <w:szCs w:val="24"/>
          <w:lang w:val="es-ES"/>
        </w:rPr>
        <w:t>XXX / ninguno</w:t>
      </w:r>
      <w:r>
        <w:rPr>
          <w:rFonts w:eastAsiaTheme="minorHAnsi"/>
          <w:szCs w:val="24"/>
          <w:lang w:val="es-ES"/>
        </w:rPr>
        <w:t>.</w:t>
      </w:r>
    </w:p>
    <w:p w14:paraId="223615D8" w14:textId="77777777" w:rsidR="002A2593" w:rsidRDefault="00000000">
      <w:pPr>
        <w:spacing w:after="160" w:line="259" w:lineRule="auto"/>
        <w:ind w:firstLine="708"/>
        <w:jc w:val="both"/>
      </w:pPr>
      <w:r>
        <w:rPr>
          <w:rFonts w:eastAsiaTheme="minorHAnsi"/>
          <w:b/>
          <w:bCs/>
          <w:szCs w:val="24"/>
          <w:lang w:val="es-ES"/>
        </w:rPr>
        <w:lastRenderedPageBreak/>
        <w:t>SEGUNDA. – PRECIO DE LA COMPRAVENTA</w:t>
      </w:r>
      <w:r>
        <w:rPr>
          <w:rFonts w:eastAsiaTheme="minorHAnsi"/>
          <w:szCs w:val="24"/>
          <w:lang w:val="es-ES"/>
        </w:rPr>
        <w:t xml:space="preserve">. El precio total de la compraventa se fija en </w:t>
      </w:r>
      <w:r>
        <w:rPr>
          <w:rFonts w:eastAsiaTheme="minorHAnsi"/>
          <w:color w:val="FF0000"/>
          <w:szCs w:val="24"/>
          <w:lang w:val="es-ES"/>
        </w:rPr>
        <w:t>XXX</w:t>
      </w:r>
      <w:r>
        <w:rPr>
          <w:rFonts w:eastAsiaTheme="minorHAnsi"/>
          <w:szCs w:val="24"/>
          <w:lang w:val="es-ES"/>
        </w:rPr>
        <w:t xml:space="preserve"> euros (</w:t>
      </w:r>
      <w:r>
        <w:rPr>
          <w:rFonts w:eastAsiaTheme="minorHAnsi"/>
          <w:color w:val="FF0000"/>
          <w:szCs w:val="24"/>
          <w:lang w:val="es-ES"/>
        </w:rPr>
        <w:t>XXX</w:t>
      </w:r>
      <w:r>
        <w:rPr>
          <w:rFonts w:eastAsiaTheme="minorHAnsi"/>
          <w:szCs w:val="24"/>
          <w:lang w:val="es-ES"/>
        </w:rPr>
        <w:t xml:space="preserve"> €), cantidad que </w:t>
      </w:r>
      <w:r>
        <w:rPr>
          <w:rFonts w:eastAsiaTheme="minorHAnsi"/>
          <w:color w:val="FF0000"/>
          <w:szCs w:val="24"/>
          <w:lang w:val="es-ES"/>
        </w:rPr>
        <w:t>no incluye / incluye</w:t>
      </w:r>
      <w:r>
        <w:rPr>
          <w:rFonts w:eastAsiaTheme="minorHAnsi"/>
          <w:szCs w:val="24"/>
          <w:lang w:val="es-ES"/>
        </w:rPr>
        <w:t xml:space="preserve"> los impuestos que graven la operación. El precio se satisfará de la siguiente forma:</w:t>
      </w:r>
    </w:p>
    <w:p w14:paraId="0FF0BB27" w14:textId="77777777" w:rsidR="002A2593" w:rsidRDefault="00000000">
      <w:pPr>
        <w:spacing w:after="160" w:line="259" w:lineRule="auto"/>
        <w:ind w:firstLine="708"/>
        <w:jc w:val="both"/>
      </w:pPr>
      <w:r>
        <w:rPr>
          <w:rFonts w:eastAsiaTheme="minorHAnsi"/>
          <w:szCs w:val="24"/>
          <w:lang w:val="es-ES"/>
        </w:rPr>
        <w:t xml:space="preserve">- </w:t>
      </w:r>
      <w:r>
        <w:rPr>
          <w:rFonts w:eastAsiaTheme="minorHAnsi"/>
          <w:color w:val="FF0000"/>
          <w:szCs w:val="24"/>
          <w:lang w:val="es-ES"/>
        </w:rPr>
        <w:t>XXX</w:t>
      </w:r>
      <w:r>
        <w:rPr>
          <w:rFonts w:eastAsiaTheme="minorHAnsi"/>
          <w:szCs w:val="24"/>
          <w:lang w:val="es-ES"/>
        </w:rPr>
        <w:t xml:space="preserve"> euros, en este acto, en concepto de arras penitenciales, conforme a la cláusula tercera.</w:t>
      </w:r>
    </w:p>
    <w:p w14:paraId="2148816D" w14:textId="77777777" w:rsidR="002A2593" w:rsidRDefault="00000000">
      <w:pPr>
        <w:spacing w:after="160" w:line="259" w:lineRule="auto"/>
        <w:ind w:firstLine="708"/>
        <w:jc w:val="both"/>
      </w:pPr>
      <w:r>
        <w:rPr>
          <w:rFonts w:eastAsiaTheme="minorHAnsi"/>
          <w:szCs w:val="24"/>
          <w:lang w:val="es-ES"/>
        </w:rPr>
        <w:t xml:space="preserve">- </w:t>
      </w:r>
      <w:r>
        <w:rPr>
          <w:rFonts w:eastAsiaTheme="minorHAnsi"/>
          <w:color w:val="FF0000"/>
          <w:szCs w:val="24"/>
          <w:lang w:val="es-ES"/>
        </w:rPr>
        <w:t>XXX</w:t>
      </w:r>
      <w:r>
        <w:rPr>
          <w:rFonts w:eastAsiaTheme="minorHAnsi"/>
          <w:szCs w:val="24"/>
          <w:lang w:val="es-ES"/>
        </w:rPr>
        <w:t xml:space="preserve"> euros, resto del precio, en el momento del otorgamiento de la escritura pública de compraventa, mediante cheque bancario nominativo o transferencia bancaria a la cuenta que designe la parte vendedora.</w:t>
      </w:r>
    </w:p>
    <w:p w14:paraId="759A01E8" w14:textId="77777777" w:rsidR="002A2593" w:rsidRDefault="00000000">
      <w:pPr>
        <w:spacing w:after="160" w:line="259" w:lineRule="auto"/>
        <w:ind w:firstLine="708"/>
        <w:jc w:val="both"/>
        <w:rPr>
          <w:rFonts w:eastAsiaTheme="minorHAnsi"/>
          <w:szCs w:val="24"/>
          <w:lang w:val="es-ES"/>
        </w:rPr>
      </w:pPr>
      <w:r>
        <w:rPr>
          <w:rFonts w:eastAsiaTheme="minorHAnsi"/>
          <w:szCs w:val="24"/>
          <w:lang w:val="es-ES"/>
        </w:rPr>
        <w:t>Si sobre la finca pesa una hipoteca, de la cantidad pendiente se retendrá en el acto de la escritura el importe necesario para su cancelación económica, que se entregará directamente a la entidad acreedora; la parte vendedora asume a su costa la cancelación registral de dicha carga.</w:t>
      </w:r>
    </w:p>
    <w:p w14:paraId="0C5058D5" w14:textId="77777777" w:rsidR="00D4754D" w:rsidRDefault="00D4754D">
      <w:pPr>
        <w:spacing w:after="160" w:line="259" w:lineRule="auto"/>
        <w:ind w:firstLine="708"/>
        <w:jc w:val="both"/>
      </w:pPr>
    </w:p>
    <w:p w14:paraId="30481888" w14:textId="77777777" w:rsidR="002A2593" w:rsidRDefault="00000000">
      <w:pPr>
        <w:spacing w:after="160" w:line="259" w:lineRule="auto"/>
        <w:ind w:firstLine="708"/>
        <w:jc w:val="both"/>
      </w:pPr>
      <w:r>
        <w:rPr>
          <w:rFonts w:eastAsiaTheme="minorHAnsi"/>
          <w:b/>
          <w:bCs/>
          <w:szCs w:val="24"/>
          <w:lang w:val="es-ES"/>
        </w:rPr>
        <w:t>TERCERA. – ENTREGA Y NATURALEZA DE LAS ARRAS</w:t>
      </w:r>
      <w:r>
        <w:rPr>
          <w:rFonts w:eastAsiaTheme="minorHAnsi"/>
          <w:szCs w:val="24"/>
          <w:lang w:val="es-ES"/>
        </w:rPr>
        <w:t xml:space="preserve">. En este acto, la parte compradora entrega a la parte vendedora la cantidad de </w:t>
      </w:r>
      <w:r>
        <w:rPr>
          <w:rFonts w:eastAsiaTheme="minorHAnsi"/>
          <w:color w:val="FF0000"/>
          <w:szCs w:val="24"/>
          <w:lang w:val="es-ES"/>
        </w:rPr>
        <w:t>XXX</w:t>
      </w:r>
      <w:r>
        <w:rPr>
          <w:rFonts w:eastAsiaTheme="minorHAnsi"/>
          <w:szCs w:val="24"/>
          <w:lang w:val="es-ES"/>
        </w:rPr>
        <w:t xml:space="preserve"> euros mediante </w:t>
      </w:r>
      <w:r>
        <w:rPr>
          <w:rFonts w:eastAsiaTheme="minorHAnsi"/>
          <w:color w:val="FF0000"/>
          <w:szCs w:val="24"/>
          <w:lang w:val="es-ES"/>
        </w:rPr>
        <w:t>transferencia bancaria a la cuenta ES XX XXXX XXXX XXXX XXXX XXXX / cheque bancario n.º XXX</w:t>
      </w:r>
      <w:r>
        <w:rPr>
          <w:rFonts w:eastAsiaTheme="minorHAnsi"/>
          <w:szCs w:val="24"/>
          <w:lang w:val="es-ES"/>
        </w:rPr>
        <w:t>, cuyo justificante se une como Anexo III. La parte vendedora reconoce haberla recibido y este documento sirve como carta de pago.</w:t>
      </w:r>
    </w:p>
    <w:p w14:paraId="58E1E336" w14:textId="772C107E" w:rsidR="002A2593" w:rsidRDefault="00000000">
      <w:pPr>
        <w:spacing w:after="160" w:line="259" w:lineRule="auto"/>
        <w:ind w:firstLine="708"/>
        <w:jc w:val="both"/>
      </w:pPr>
      <w:r>
        <w:rPr>
          <w:rFonts w:eastAsiaTheme="minorHAnsi"/>
          <w:szCs w:val="24"/>
          <w:lang w:val="es-ES"/>
        </w:rPr>
        <w:t xml:space="preserve">Las partes pactan de forma expresa que esta cantidad se entrega en concepto de </w:t>
      </w:r>
      <w:r>
        <w:rPr>
          <w:rFonts w:eastAsiaTheme="minorHAnsi"/>
          <w:b/>
          <w:bCs/>
          <w:szCs w:val="24"/>
          <w:lang w:val="es-ES"/>
        </w:rPr>
        <w:t>arras penitenciales</w:t>
      </w:r>
      <w:r>
        <w:rPr>
          <w:rFonts w:eastAsiaTheme="minorHAnsi"/>
          <w:szCs w:val="24"/>
          <w:lang w:val="es-ES"/>
        </w:rPr>
        <w:t>, con el alcance previsto en el art</w:t>
      </w:r>
      <w:r w:rsidR="00D4754D">
        <w:rPr>
          <w:rFonts w:eastAsiaTheme="minorHAnsi"/>
          <w:szCs w:val="24"/>
          <w:lang w:val="es-ES"/>
        </w:rPr>
        <w:t>.</w:t>
      </w:r>
      <w:r>
        <w:rPr>
          <w:rFonts w:eastAsiaTheme="minorHAnsi"/>
          <w:szCs w:val="24"/>
          <w:lang w:val="es-ES"/>
        </w:rPr>
        <w:t xml:space="preserve"> 1454 del Código Civil. En consecuencia, cada una de las partes podrá desistir de la compraventa: la parte compradora, perdiendo la cantidad entregada, y la parte vendedora, devolviéndola duplicada. El desistimiento así ejercido no dará lugar a ninguna otra indemnización.</w:t>
      </w:r>
    </w:p>
    <w:p w14:paraId="6CD6653B" w14:textId="77777777" w:rsidR="002A2593" w:rsidRDefault="00000000">
      <w:pPr>
        <w:spacing w:after="160" w:line="259" w:lineRule="auto"/>
        <w:ind w:firstLine="708"/>
        <w:jc w:val="both"/>
      </w:pPr>
      <w:r>
        <w:rPr>
          <w:rFonts w:eastAsiaTheme="minorHAnsi"/>
          <w:szCs w:val="24"/>
          <w:lang w:val="es-ES"/>
        </w:rPr>
        <w:t>Si la compraventa llega a formalizarse, la cantidad entregada como arras se imputará como pago a cuenta del precio.</w:t>
      </w:r>
    </w:p>
    <w:p w14:paraId="77F687BC" w14:textId="77777777" w:rsidR="002A2593"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si lo que se quiere es que ninguna parte pueda apartarse del contrato (arras confirmatorias), o que la pérdida o el duplo funcionen como pena sin impedir exigir el cumplimiento (arras penales), debe redactarse expresamente esta cláusula en ese sentido. Si no se especifica con claridad la naturaleza penitencial, los tribunales suelen entender que las arras son confirmatorias.]</w:t>
      </w:r>
    </w:p>
    <w:p w14:paraId="3F2332E0" w14:textId="77777777" w:rsidR="00D4754D" w:rsidRDefault="00D4754D">
      <w:pPr>
        <w:spacing w:after="160" w:line="259" w:lineRule="auto"/>
        <w:ind w:firstLine="708"/>
        <w:jc w:val="both"/>
      </w:pPr>
    </w:p>
    <w:p w14:paraId="47C22883" w14:textId="77777777" w:rsidR="002A2593" w:rsidRDefault="00000000">
      <w:pPr>
        <w:spacing w:after="160" w:line="259" w:lineRule="auto"/>
        <w:ind w:firstLine="708"/>
        <w:jc w:val="both"/>
      </w:pPr>
      <w:r>
        <w:rPr>
          <w:rFonts w:eastAsiaTheme="minorHAnsi"/>
          <w:b/>
          <w:bCs/>
          <w:szCs w:val="24"/>
          <w:lang w:val="es-ES"/>
        </w:rPr>
        <w:t>CUARTA. – PLAZO PARA EL OTORGAMIENTO DE LA ESCRITURA</w:t>
      </w:r>
      <w:r>
        <w:rPr>
          <w:rFonts w:eastAsiaTheme="minorHAnsi"/>
          <w:szCs w:val="24"/>
          <w:lang w:val="es-ES"/>
        </w:rPr>
        <w:t xml:space="preserve">. La escritura pública de compraventa se otorgará, como máximo, el día </w:t>
      </w:r>
      <w:r>
        <w:rPr>
          <w:rFonts w:eastAsiaTheme="minorHAnsi"/>
          <w:color w:val="FF0000"/>
          <w:szCs w:val="24"/>
          <w:lang w:val="es-ES"/>
        </w:rPr>
        <w:t>XXX</w:t>
      </w:r>
      <w:r>
        <w:rPr>
          <w:rFonts w:eastAsiaTheme="minorHAnsi"/>
          <w:szCs w:val="24"/>
          <w:lang w:val="es-ES"/>
        </w:rPr>
        <w:t>, ante el notario que designe la parte compradora, que comunicará a la parte vendedora el día, la hora y la notaría con una antelación mínima de diez días naturales.</w:t>
      </w:r>
    </w:p>
    <w:p w14:paraId="7E99151C" w14:textId="77777777" w:rsidR="002A2593" w:rsidRDefault="00000000">
      <w:pPr>
        <w:spacing w:after="160" w:line="259" w:lineRule="auto"/>
        <w:ind w:firstLine="708"/>
        <w:jc w:val="both"/>
        <w:rPr>
          <w:rFonts w:eastAsiaTheme="minorHAnsi"/>
          <w:szCs w:val="24"/>
          <w:lang w:val="es-ES"/>
        </w:rPr>
      </w:pPr>
      <w:r>
        <w:rPr>
          <w:rFonts w:eastAsiaTheme="minorHAnsi"/>
          <w:szCs w:val="24"/>
          <w:lang w:val="es-ES"/>
        </w:rPr>
        <w:lastRenderedPageBreak/>
        <w:t>Las partes podrán prorrogar este plazo de mutuo acuerdo y por escrito. Si no se ha comunicado la convocatoria dentro del plazo, cualquiera de las partes podrá requerir a la otra para el otorgamiento con un preaviso de diez días naturales.</w:t>
      </w:r>
    </w:p>
    <w:p w14:paraId="3BBF17D9" w14:textId="77777777" w:rsidR="00D4754D" w:rsidRDefault="00D4754D">
      <w:pPr>
        <w:spacing w:after="160" w:line="259" w:lineRule="auto"/>
        <w:ind w:firstLine="708"/>
        <w:jc w:val="both"/>
      </w:pPr>
    </w:p>
    <w:p w14:paraId="51CBC61C" w14:textId="77777777" w:rsidR="002A2593" w:rsidRDefault="00000000">
      <w:pPr>
        <w:spacing w:after="160" w:line="259" w:lineRule="auto"/>
        <w:ind w:firstLine="708"/>
        <w:jc w:val="both"/>
      </w:pPr>
      <w:r>
        <w:rPr>
          <w:rFonts w:eastAsiaTheme="minorHAnsi"/>
          <w:b/>
          <w:bCs/>
          <w:szCs w:val="24"/>
          <w:lang w:val="es-ES"/>
        </w:rPr>
        <w:t>QUINTA. – DESISTIMIENTO Y FALTA DE COMPARECENCIA</w:t>
      </w:r>
      <w:r>
        <w:rPr>
          <w:rFonts w:eastAsiaTheme="minorHAnsi"/>
          <w:szCs w:val="24"/>
          <w:lang w:val="es-ES"/>
        </w:rPr>
        <w:t>. El desistimiento podrá ejercitarse por cualquiera de las partes hasta el momento del otorgamiento de la escritura, mediante comunicación escrita a la otra parte por un medio que acredite su recepción.</w:t>
      </w:r>
    </w:p>
    <w:p w14:paraId="117C1297" w14:textId="77777777" w:rsidR="002A2593" w:rsidRDefault="00000000">
      <w:pPr>
        <w:spacing w:after="160" w:line="259" w:lineRule="auto"/>
        <w:ind w:firstLine="708"/>
        <w:jc w:val="both"/>
      </w:pPr>
      <w:r>
        <w:rPr>
          <w:rFonts w:eastAsiaTheme="minorHAnsi"/>
          <w:szCs w:val="24"/>
          <w:lang w:val="es-ES"/>
        </w:rPr>
        <w:t>- Si desiste la parte compradora, la parte vendedora hará suya la cantidad recibida como arras, quedando ambas partes liberadas de sus obligaciones.</w:t>
      </w:r>
    </w:p>
    <w:p w14:paraId="5FE1EC57" w14:textId="77777777" w:rsidR="002A2593" w:rsidRDefault="00000000">
      <w:pPr>
        <w:spacing w:after="160" w:line="259" w:lineRule="auto"/>
        <w:ind w:firstLine="708"/>
        <w:jc w:val="both"/>
      </w:pPr>
      <w:r>
        <w:rPr>
          <w:rFonts w:eastAsiaTheme="minorHAnsi"/>
          <w:szCs w:val="24"/>
          <w:lang w:val="es-ES"/>
        </w:rPr>
        <w:t>- Si desiste la parte vendedora, deberá entregar a la parte compradora el doble de la cantidad recibida en el plazo de diez días naturales desde la comunicación del desistimiento. Transcurrido dicho plazo sin pago, la cantidad devengará el interés legal del dinero incrementado en dos puntos.</w:t>
      </w:r>
    </w:p>
    <w:p w14:paraId="7934BC5D" w14:textId="77777777" w:rsidR="002A2593" w:rsidRDefault="00000000">
      <w:pPr>
        <w:spacing w:after="160" w:line="259" w:lineRule="auto"/>
        <w:ind w:firstLine="708"/>
        <w:jc w:val="both"/>
        <w:rPr>
          <w:rFonts w:eastAsiaTheme="minorHAnsi"/>
          <w:szCs w:val="24"/>
          <w:lang w:val="es-ES"/>
        </w:rPr>
      </w:pPr>
      <w:r>
        <w:rPr>
          <w:rFonts w:eastAsiaTheme="minorHAnsi"/>
          <w:szCs w:val="24"/>
          <w:lang w:val="es-ES"/>
        </w:rPr>
        <w:t>La falta de comparecencia injustificada de cualquiera de las partes en la notaría, el día y la hora convocados conforme a la cláusula cuarta, o su negativa a otorgar la escritura en los términos pactados, se considerarán ejercicio del desistimiento, con los efectos indicados en esta cláusula. La parte que comparezca podrá requerir al notario para que levante acta de su comparecencia.</w:t>
      </w:r>
    </w:p>
    <w:p w14:paraId="5DF2BDA3" w14:textId="77777777" w:rsidR="00D4754D" w:rsidRDefault="00D4754D">
      <w:pPr>
        <w:spacing w:after="160" w:line="259" w:lineRule="auto"/>
        <w:ind w:firstLine="708"/>
        <w:jc w:val="both"/>
      </w:pPr>
    </w:p>
    <w:p w14:paraId="772B382A" w14:textId="77777777" w:rsidR="002A2593" w:rsidRDefault="00000000">
      <w:pPr>
        <w:spacing w:after="160" w:line="259" w:lineRule="auto"/>
        <w:ind w:firstLine="708"/>
        <w:jc w:val="both"/>
      </w:pPr>
      <w:r>
        <w:rPr>
          <w:rFonts w:eastAsiaTheme="minorHAnsi"/>
          <w:b/>
          <w:bCs/>
          <w:szCs w:val="24"/>
          <w:lang w:val="es-ES"/>
        </w:rPr>
        <w:t>SEXTA. – CONDICIÓN DE FINANCIACIÓN</w:t>
      </w:r>
      <w:r>
        <w:rPr>
          <w:rFonts w:eastAsiaTheme="minorHAnsi"/>
          <w:szCs w:val="24"/>
          <w:lang w:val="es-ES"/>
        </w:rPr>
        <w:t xml:space="preserve">. </w:t>
      </w:r>
      <w:r>
        <w:rPr>
          <w:rFonts w:eastAsiaTheme="minorHAnsi"/>
          <w:color w:val="FF0000"/>
          <w:szCs w:val="24"/>
          <w:lang w:val="es-ES"/>
        </w:rPr>
        <w:t>Opcional:</w:t>
      </w:r>
      <w:r>
        <w:rPr>
          <w:rFonts w:eastAsiaTheme="minorHAnsi"/>
          <w:szCs w:val="24"/>
          <w:lang w:val="es-ES"/>
        </w:rPr>
        <w:t xml:space="preserve"> La parte compradora manifiesta que necesita financiación hipotecaria por importe de </w:t>
      </w:r>
      <w:r>
        <w:rPr>
          <w:rFonts w:eastAsiaTheme="minorHAnsi"/>
          <w:color w:val="FF0000"/>
          <w:szCs w:val="24"/>
          <w:lang w:val="es-ES"/>
        </w:rPr>
        <w:t>XXX</w:t>
      </w:r>
      <w:r>
        <w:rPr>
          <w:rFonts w:eastAsiaTheme="minorHAnsi"/>
          <w:szCs w:val="24"/>
          <w:lang w:val="es-ES"/>
        </w:rPr>
        <w:t xml:space="preserve"> euros para pagar el precio. Si, a pesar de haberla solicitado de buena fe al menos a dos entidades de crédito, le fuera denegada, y lo acreditara documentalmente a la parte vendedora antes del día </w:t>
      </w:r>
      <w:r>
        <w:rPr>
          <w:rFonts w:eastAsiaTheme="minorHAnsi"/>
          <w:color w:val="FF0000"/>
          <w:szCs w:val="24"/>
          <w:lang w:val="es-ES"/>
        </w:rPr>
        <w:t>XXX</w:t>
      </w:r>
      <w:r>
        <w:rPr>
          <w:rFonts w:eastAsiaTheme="minorHAnsi"/>
          <w:szCs w:val="24"/>
          <w:lang w:val="es-ES"/>
        </w:rPr>
        <w:t>, el contrato quedará sin efecto y la parte vendedora devolverá las arras sin duplicar en el plazo de diez días naturales, sin indemnización alguna entre las partes.</w:t>
      </w:r>
    </w:p>
    <w:p w14:paraId="5016912D" w14:textId="77777777" w:rsidR="002A2593" w:rsidRDefault="00000000">
      <w:pPr>
        <w:spacing w:after="160" w:line="259" w:lineRule="auto"/>
        <w:ind w:firstLine="708"/>
        <w:jc w:val="both"/>
      </w:pPr>
      <w:r>
        <w:rPr>
          <w:rFonts w:eastAsiaTheme="minorHAnsi"/>
          <w:szCs w:val="24"/>
          <w:lang w:val="es-ES"/>
        </w:rPr>
        <w:t>Transcurrido el plazo indicado sin que la parte compradora haya acreditado la denegación, esta condición se tendrá por cumplida o renunciada, y será de aplicación el régimen general de la cláusula quinta.</w:t>
      </w:r>
    </w:p>
    <w:p w14:paraId="0CCC572C" w14:textId="77777777" w:rsidR="002A2593"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suprímase esta cláusula si la compra no depende de financiación.]</w:t>
      </w:r>
    </w:p>
    <w:p w14:paraId="58138616" w14:textId="77777777" w:rsidR="00D4754D" w:rsidRDefault="00D4754D">
      <w:pPr>
        <w:spacing w:after="160" w:line="259" w:lineRule="auto"/>
        <w:ind w:firstLine="708"/>
        <w:jc w:val="both"/>
      </w:pPr>
    </w:p>
    <w:p w14:paraId="1638F513" w14:textId="77777777" w:rsidR="002A2593" w:rsidRDefault="00000000">
      <w:pPr>
        <w:spacing w:after="160" w:line="259" w:lineRule="auto"/>
        <w:ind w:firstLine="708"/>
        <w:jc w:val="both"/>
      </w:pPr>
      <w:r>
        <w:rPr>
          <w:rFonts w:eastAsiaTheme="minorHAnsi"/>
          <w:b/>
          <w:bCs/>
          <w:szCs w:val="24"/>
          <w:lang w:val="es-ES"/>
        </w:rPr>
        <w:t>SÉPTIMA. – OBLIGACIONES DE LA PARTE VENDEDORA HASTA LA ESCRITURA</w:t>
      </w:r>
      <w:r>
        <w:rPr>
          <w:rFonts w:eastAsiaTheme="minorHAnsi"/>
          <w:szCs w:val="24"/>
          <w:lang w:val="es-ES"/>
        </w:rPr>
        <w:t>. Hasta el otorgamiento de la escritura, la parte vendedora se obliga a:</w:t>
      </w:r>
    </w:p>
    <w:p w14:paraId="221E9553" w14:textId="77777777" w:rsidR="002A2593" w:rsidRDefault="00000000">
      <w:pPr>
        <w:spacing w:after="160" w:line="259" w:lineRule="auto"/>
        <w:ind w:firstLine="708"/>
        <w:jc w:val="both"/>
      </w:pPr>
      <w:r>
        <w:rPr>
          <w:rFonts w:eastAsiaTheme="minorHAnsi"/>
          <w:szCs w:val="24"/>
          <w:lang w:val="es-ES"/>
        </w:rPr>
        <w:lastRenderedPageBreak/>
        <w:t>- No vender, gravar, arrendar ni ceder el uso de la finca a terceros, ni realizar ningún acto que limite su libre disposición.</w:t>
      </w:r>
    </w:p>
    <w:p w14:paraId="0A534635" w14:textId="77777777" w:rsidR="002A2593" w:rsidRDefault="00000000">
      <w:pPr>
        <w:spacing w:after="160" w:line="259" w:lineRule="auto"/>
        <w:ind w:firstLine="708"/>
        <w:jc w:val="both"/>
      </w:pPr>
      <w:r>
        <w:rPr>
          <w:rFonts w:eastAsiaTheme="minorHAnsi"/>
          <w:szCs w:val="24"/>
          <w:lang w:val="es-ES"/>
        </w:rPr>
        <w:t>- Conservar la vivienda en el mismo estado en que se encuentra a la firma de este contrato, respondiendo de los daños que sufra hasta la entrega por causa que le sea imputable.</w:t>
      </w:r>
    </w:p>
    <w:p w14:paraId="37B90372" w14:textId="4A8F2E45" w:rsidR="002A2593" w:rsidRDefault="00000000">
      <w:pPr>
        <w:spacing w:after="160" w:line="259" w:lineRule="auto"/>
        <w:ind w:firstLine="708"/>
        <w:jc w:val="both"/>
      </w:pPr>
      <w:r>
        <w:rPr>
          <w:rFonts w:eastAsiaTheme="minorHAnsi"/>
          <w:szCs w:val="24"/>
          <w:lang w:val="es-ES"/>
        </w:rPr>
        <w:t>- Aportar en la notaría la certificación de la comunidad de propietarios sobre el estado de deudas con la comunidad, exigida por el art</w:t>
      </w:r>
      <w:r w:rsidR="00D4754D">
        <w:rPr>
          <w:rFonts w:eastAsiaTheme="minorHAnsi"/>
          <w:szCs w:val="24"/>
          <w:lang w:val="es-ES"/>
        </w:rPr>
        <w:t>.</w:t>
      </w:r>
      <w:r>
        <w:rPr>
          <w:rFonts w:eastAsiaTheme="minorHAnsi"/>
          <w:szCs w:val="24"/>
          <w:lang w:val="es-ES"/>
        </w:rPr>
        <w:t xml:space="preserve"> 9.1.e) de la Ley 49/1960, de 21 de julio, sobre Propiedad Horizontal, así como los justificantes de pago del último recibo del Impuesto sobre Bienes Inmuebles y de los suministros.</w:t>
      </w:r>
    </w:p>
    <w:p w14:paraId="4FC5FBFD" w14:textId="77777777" w:rsidR="002A2593" w:rsidRDefault="00000000">
      <w:pPr>
        <w:spacing w:after="160" w:line="259" w:lineRule="auto"/>
        <w:ind w:firstLine="708"/>
        <w:jc w:val="both"/>
      </w:pPr>
      <w:r>
        <w:rPr>
          <w:rFonts w:eastAsiaTheme="minorHAnsi"/>
          <w:szCs w:val="24"/>
          <w:lang w:val="es-ES"/>
        </w:rPr>
        <w:t>- Aportar el certificado de eficiencia energética vigente y la cédula de habitabilidad o documento equivalente exigido por la normativa autonómica.</w:t>
      </w:r>
    </w:p>
    <w:p w14:paraId="7960EF00" w14:textId="77777777" w:rsidR="002A2593" w:rsidRDefault="00000000">
      <w:pPr>
        <w:spacing w:after="160" w:line="259" w:lineRule="auto"/>
        <w:ind w:firstLine="708"/>
        <w:jc w:val="both"/>
        <w:rPr>
          <w:rFonts w:eastAsiaTheme="minorHAnsi"/>
          <w:szCs w:val="24"/>
          <w:lang w:val="es-ES"/>
        </w:rPr>
      </w:pPr>
      <w:r>
        <w:rPr>
          <w:rFonts w:eastAsiaTheme="minorHAnsi"/>
          <w:szCs w:val="24"/>
          <w:lang w:val="es-ES"/>
        </w:rPr>
        <w:t>- Gestionar y obtener, en su caso, la documentación necesaria para la cancelación de la hipoteca existente sobre la finca.</w:t>
      </w:r>
    </w:p>
    <w:p w14:paraId="6214F52D" w14:textId="77777777" w:rsidR="00D4754D" w:rsidRDefault="00D4754D">
      <w:pPr>
        <w:spacing w:after="160" w:line="259" w:lineRule="auto"/>
        <w:ind w:firstLine="708"/>
        <w:jc w:val="both"/>
      </w:pPr>
    </w:p>
    <w:p w14:paraId="16BDC7E4" w14:textId="336571E4" w:rsidR="002A2593" w:rsidRDefault="00000000">
      <w:pPr>
        <w:spacing w:after="160" w:line="259" w:lineRule="auto"/>
        <w:ind w:firstLine="708"/>
        <w:jc w:val="both"/>
      </w:pPr>
      <w:r>
        <w:rPr>
          <w:rFonts w:eastAsiaTheme="minorHAnsi"/>
          <w:b/>
          <w:bCs/>
          <w:szCs w:val="24"/>
          <w:lang w:val="es-ES"/>
        </w:rPr>
        <w:t>OCTAVA. – VIVIENDA ARRENDADA Y DERECHO DE ADQUISICIÓN PREFERENTE</w:t>
      </w:r>
      <w:r>
        <w:rPr>
          <w:rFonts w:eastAsiaTheme="minorHAnsi"/>
          <w:szCs w:val="24"/>
          <w:lang w:val="es-ES"/>
        </w:rPr>
        <w:t xml:space="preserve">. </w:t>
      </w:r>
      <w:r>
        <w:rPr>
          <w:rFonts w:eastAsiaTheme="minorHAnsi"/>
          <w:color w:val="FF0000"/>
          <w:szCs w:val="24"/>
          <w:lang w:val="es-ES"/>
        </w:rPr>
        <w:t>Solo si la vivienda está arrendada:</w:t>
      </w:r>
      <w:r>
        <w:rPr>
          <w:rFonts w:eastAsiaTheme="minorHAnsi"/>
          <w:szCs w:val="24"/>
          <w:lang w:val="es-ES"/>
        </w:rPr>
        <w:t xml:space="preserve"> La parte vendedora notificará de forma fehaciente al arrendatario, en el plazo de </w:t>
      </w:r>
      <w:r>
        <w:rPr>
          <w:rFonts w:eastAsiaTheme="minorHAnsi"/>
          <w:color w:val="FF0000"/>
          <w:szCs w:val="24"/>
          <w:lang w:val="es-ES"/>
        </w:rPr>
        <w:t>cinco</w:t>
      </w:r>
      <w:r>
        <w:rPr>
          <w:rFonts w:eastAsiaTheme="minorHAnsi"/>
          <w:szCs w:val="24"/>
          <w:lang w:val="es-ES"/>
        </w:rPr>
        <w:t xml:space="preserve"> días desde la firma de este contrato, su decisión de vender, el precio y las demás condiciones esenciales de la venta, para que pueda ejercitar el derecho de tanteo en el plazo de treinta días naturales previsto en el art</w:t>
      </w:r>
      <w:r w:rsidR="00D4754D">
        <w:rPr>
          <w:rFonts w:eastAsiaTheme="minorHAnsi"/>
          <w:szCs w:val="24"/>
          <w:lang w:val="es-ES"/>
        </w:rPr>
        <w:t>.</w:t>
      </w:r>
      <w:r>
        <w:rPr>
          <w:rFonts w:eastAsiaTheme="minorHAnsi"/>
          <w:szCs w:val="24"/>
          <w:lang w:val="es-ES"/>
        </w:rPr>
        <w:t xml:space="preserve"> 25 de la Ley 29/1994, de Arrendamientos Urbanos, en la redacción dada por el Real Decreto-ley 29/2026, de 6 de octubre. Este derecho es irrenunciable.</w:t>
      </w:r>
    </w:p>
    <w:p w14:paraId="09AA3718" w14:textId="10993DD4" w:rsidR="002A2593" w:rsidRDefault="00000000">
      <w:pPr>
        <w:spacing w:after="160" w:line="259" w:lineRule="auto"/>
        <w:ind w:firstLine="708"/>
        <w:jc w:val="both"/>
      </w:pPr>
      <w:r>
        <w:rPr>
          <w:rFonts w:eastAsiaTheme="minorHAnsi"/>
          <w:szCs w:val="24"/>
          <w:lang w:val="es-ES"/>
        </w:rPr>
        <w:t>Si el arrendatario ejercita su derecho, este contrato quedará sin efecto y la parte vendedora devolverá a la parte compradora las arras recibidas, sin duplicar, en el plazo de diez días naturales, sin otra indemnización. Si no lo ejercita, la parte compradora adquirirá la vivienda con subrogación en el contrato de arrendamiento en los términos del art</w:t>
      </w:r>
      <w:r w:rsidR="00D4754D">
        <w:rPr>
          <w:rFonts w:eastAsiaTheme="minorHAnsi"/>
          <w:szCs w:val="24"/>
          <w:lang w:val="es-ES"/>
        </w:rPr>
        <w:t>.</w:t>
      </w:r>
      <w:r>
        <w:rPr>
          <w:rFonts w:eastAsiaTheme="minorHAnsi"/>
          <w:szCs w:val="24"/>
          <w:lang w:val="es-ES"/>
        </w:rPr>
        <w:t xml:space="preserve"> 14 de dicha ley, salvo que el arrendamiento se haya extinguido antes de la escritura.</w:t>
      </w:r>
    </w:p>
    <w:p w14:paraId="62104F36" w14:textId="6ABBF2E7" w:rsidR="002A2593" w:rsidRDefault="00000000">
      <w:pPr>
        <w:spacing w:after="160" w:line="259" w:lineRule="auto"/>
        <w:ind w:firstLine="708"/>
        <w:jc w:val="both"/>
        <w:rPr>
          <w:rFonts w:eastAsiaTheme="minorHAnsi"/>
          <w:szCs w:val="24"/>
          <w:lang w:val="es-ES"/>
        </w:rPr>
      </w:pPr>
      <w:r>
        <w:rPr>
          <w:rFonts w:eastAsiaTheme="minorHAnsi"/>
          <w:szCs w:val="24"/>
          <w:lang w:val="es-ES"/>
        </w:rPr>
        <w:t>Si la vivienda no está arrendada, la parte vendedora lo declarará así en la escritura, como exige el art</w:t>
      </w:r>
      <w:r w:rsidR="00D4754D">
        <w:rPr>
          <w:rFonts w:eastAsiaTheme="minorHAnsi"/>
          <w:szCs w:val="24"/>
          <w:lang w:val="es-ES"/>
        </w:rPr>
        <w:t xml:space="preserve">. </w:t>
      </w:r>
      <w:r>
        <w:rPr>
          <w:rFonts w:eastAsiaTheme="minorHAnsi"/>
          <w:szCs w:val="24"/>
          <w:lang w:val="es-ES"/>
        </w:rPr>
        <w:t>25.5 de la Ley de Arrendamientos Urbanos para la inscripción de la venta.</w:t>
      </w:r>
    </w:p>
    <w:p w14:paraId="23BDDBB8" w14:textId="77777777" w:rsidR="00D4754D" w:rsidRDefault="00D4754D">
      <w:pPr>
        <w:spacing w:after="160" w:line="259" w:lineRule="auto"/>
        <w:ind w:firstLine="708"/>
        <w:jc w:val="both"/>
      </w:pPr>
    </w:p>
    <w:p w14:paraId="26BBAD00" w14:textId="77777777" w:rsidR="002A2593" w:rsidRDefault="00000000">
      <w:pPr>
        <w:spacing w:after="160" w:line="259" w:lineRule="auto"/>
        <w:ind w:firstLine="708"/>
        <w:jc w:val="both"/>
      </w:pPr>
      <w:r>
        <w:rPr>
          <w:rFonts w:eastAsiaTheme="minorHAnsi"/>
          <w:b/>
          <w:bCs/>
          <w:szCs w:val="24"/>
          <w:lang w:val="es-ES"/>
        </w:rPr>
        <w:t>NOVENA. – ENTREGA DE LA POSESIÓN</w:t>
      </w:r>
      <w:r>
        <w:rPr>
          <w:rFonts w:eastAsiaTheme="minorHAnsi"/>
          <w:szCs w:val="24"/>
          <w:lang w:val="es-ES"/>
        </w:rPr>
        <w:t>. La posesión de la vivienda se entregará a la parte compradora en el momento del otorgamiento de la escritura pública, que equivaldrá a la entrega (art. 1462 del Código Civil). En ese acto, la parte vendedora entregará todas las llaves, mandos y códigos de acceso, y la vivienda deberá estar libre de ocupantes y de enseres no incluidos en la venta.</w:t>
      </w:r>
    </w:p>
    <w:p w14:paraId="08E89F70" w14:textId="77777777" w:rsidR="002A2593" w:rsidRDefault="00000000">
      <w:pPr>
        <w:spacing w:after="160" w:line="259" w:lineRule="auto"/>
        <w:ind w:firstLine="708"/>
        <w:jc w:val="both"/>
      </w:pPr>
      <w:r>
        <w:rPr>
          <w:rFonts w:eastAsiaTheme="minorHAnsi"/>
          <w:b/>
          <w:bCs/>
          <w:szCs w:val="24"/>
          <w:lang w:val="es-ES"/>
        </w:rPr>
        <w:lastRenderedPageBreak/>
        <w:t>DÉCIMA. – GASTOS E IMPUESTOS</w:t>
      </w:r>
      <w:r>
        <w:rPr>
          <w:rFonts w:eastAsiaTheme="minorHAnsi"/>
          <w:szCs w:val="24"/>
          <w:lang w:val="es-ES"/>
        </w:rPr>
        <w:t>. Los gastos e impuestos derivados de la compraventa se distribuirán conforme a la ley:</w:t>
      </w:r>
    </w:p>
    <w:p w14:paraId="5F393545" w14:textId="77777777" w:rsidR="002A2593" w:rsidRDefault="00000000">
      <w:pPr>
        <w:spacing w:after="160" w:line="259" w:lineRule="auto"/>
        <w:ind w:firstLine="708"/>
        <w:jc w:val="both"/>
      </w:pPr>
      <w:r>
        <w:rPr>
          <w:rFonts w:eastAsiaTheme="minorHAnsi"/>
          <w:szCs w:val="24"/>
          <w:lang w:val="es-ES"/>
        </w:rPr>
        <w:t>- Los gastos notariales de otorgamiento de la escritura matriz serán de cuenta de la parte vendedora, y los de la primera copia y posteriores, de la parte compradora (art. 1455 del Código Civil).</w:t>
      </w:r>
    </w:p>
    <w:p w14:paraId="30BD9100" w14:textId="77777777" w:rsidR="002A2593" w:rsidRDefault="00000000">
      <w:pPr>
        <w:spacing w:after="160" w:line="259" w:lineRule="auto"/>
        <w:ind w:firstLine="708"/>
        <w:jc w:val="both"/>
      </w:pPr>
      <w:r>
        <w:rPr>
          <w:rFonts w:eastAsiaTheme="minorHAnsi"/>
          <w:szCs w:val="24"/>
          <w:lang w:val="es-ES"/>
        </w:rPr>
        <w:t>- El Impuesto sobre el Incremento de Valor de los Terrenos de Naturaleza Urbana será de cuenta de la parte vendedora, como sujeto pasivo de la transmisión onerosa (art. 106.1.b del texto refundido de la Ley Reguladora de las Haciendas Locales).</w:t>
      </w:r>
    </w:p>
    <w:p w14:paraId="73708D48" w14:textId="77777777" w:rsidR="002A2593" w:rsidRDefault="00000000">
      <w:pPr>
        <w:spacing w:after="160" w:line="259" w:lineRule="auto"/>
        <w:ind w:firstLine="708"/>
        <w:jc w:val="both"/>
      </w:pPr>
      <w:r>
        <w:rPr>
          <w:rFonts w:eastAsiaTheme="minorHAnsi"/>
          <w:szCs w:val="24"/>
          <w:lang w:val="es-ES"/>
        </w:rPr>
        <w:t>- El Impuesto sobre Transmisiones Patrimoniales o, en su caso, el Impuesto sobre el Valor Añadido y el de Actos Jurídicos Documentados, así como los gastos de inscripción en el Registro de la Propiedad, serán de cuenta de la parte compradora.</w:t>
      </w:r>
    </w:p>
    <w:p w14:paraId="3FE8ECA8" w14:textId="77777777" w:rsidR="002A2593" w:rsidRDefault="00000000">
      <w:pPr>
        <w:spacing w:after="160" w:line="259" w:lineRule="auto"/>
        <w:ind w:firstLine="708"/>
        <w:jc w:val="both"/>
      </w:pPr>
      <w:r>
        <w:rPr>
          <w:rFonts w:eastAsiaTheme="minorHAnsi"/>
          <w:szCs w:val="24"/>
          <w:lang w:val="es-ES"/>
        </w:rPr>
        <w:t>- Los gastos de cancelación de cargas existentes, incluida la hipoteca, serán de cuenta de la parte vendedora.</w:t>
      </w:r>
    </w:p>
    <w:p w14:paraId="65CBB947" w14:textId="77777777" w:rsidR="002A2593" w:rsidRDefault="00000000">
      <w:pPr>
        <w:spacing w:after="160" w:line="259" w:lineRule="auto"/>
        <w:ind w:firstLine="708"/>
        <w:jc w:val="both"/>
      </w:pPr>
      <w:r>
        <w:rPr>
          <w:rFonts w:eastAsiaTheme="minorHAnsi"/>
          <w:szCs w:val="24"/>
          <w:lang w:val="es-ES"/>
        </w:rPr>
        <w:t xml:space="preserve">- El Impuesto sobre Bienes Inmuebles del año en curso será de cuenta de </w:t>
      </w:r>
      <w:r>
        <w:rPr>
          <w:rFonts w:eastAsiaTheme="minorHAnsi"/>
          <w:color w:val="FF0000"/>
          <w:szCs w:val="24"/>
          <w:lang w:val="es-ES"/>
        </w:rPr>
        <w:t>la parte vendedora / ambas partes en proporción al tiempo de titularidad de cada una</w:t>
      </w:r>
      <w:r>
        <w:rPr>
          <w:rFonts w:eastAsiaTheme="minorHAnsi"/>
          <w:szCs w:val="24"/>
          <w:lang w:val="es-ES"/>
        </w:rPr>
        <w:t>. La parte vendedora advierte que la finca queda afecta al pago de la totalidad de la cuota del impuesto (art. 64 del texto refundido de la Ley Reguladora de las Haciendas Locales).</w:t>
      </w:r>
    </w:p>
    <w:p w14:paraId="538FC73D" w14:textId="77777777" w:rsidR="002A2593" w:rsidRDefault="00000000">
      <w:pPr>
        <w:spacing w:after="160" w:line="259" w:lineRule="auto"/>
        <w:ind w:firstLine="708"/>
        <w:jc w:val="both"/>
        <w:rPr>
          <w:rFonts w:eastAsiaTheme="minorHAnsi"/>
          <w:szCs w:val="24"/>
          <w:lang w:val="es-ES"/>
        </w:rPr>
      </w:pPr>
      <w:r>
        <w:rPr>
          <w:rFonts w:eastAsiaTheme="minorHAnsi"/>
          <w:szCs w:val="24"/>
          <w:lang w:val="es-ES"/>
        </w:rPr>
        <w:t>Los honorarios de la agencia o intermediario inmobiliario, si lo hubiera, serán de cuenta exclusiva de la parte que lo haya contratado.</w:t>
      </w:r>
    </w:p>
    <w:p w14:paraId="13A4D38A" w14:textId="77777777" w:rsidR="00D4754D" w:rsidRDefault="00D4754D">
      <w:pPr>
        <w:spacing w:after="160" w:line="259" w:lineRule="auto"/>
        <w:ind w:firstLine="708"/>
        <w:jc w:val="both"/>
      </w:pPr>
    </w:p>
    <w:p w14:paraId="4DDB3EF5" w14:textId="3889271C" w:rsidR="002A2593" w:rsidRDefault="00000000">
      <w:pPr>
        <w:spacing w:after="160" w:line="259" w:lineRule="auto"/>
        <w:ind w:firstLine="708"/>
        <w:jc w:val="both"/>
      </w:pPr>
      <w:r>
        <w:rPr>
          <w:rFonts w:eastAsiaTheme="minorHAnsi"/>
          <w:b/>
          <w:bCs/>
          <w:szCs w:val="24"/>
          <w:lang w:val="es-ES"/>
        </w:rPr>
        <w:t>UNDÉCIMA. – DECLARACIÓN DE LA PARTE COMPRADORA SOBRE EL REAL DECRETO-LEY 29/2026</w:t>
      </w:r>
      <w:r>
        <w:rPr>
          <w:rFonts w:eastAsiaTheme="minorHAnsi"/>
          <w:szCs w:val="24"/>
          <w:lang w:val="es-ES"/>
        </w:rPr>
        <w:t xml:space="preserve">. La parte compradora declara que </w:t>
      </w:r>
      <w:r>
        <w:rPr>
          <w:rFonts w:eastAsiaTheme="minorHAnsi"/>
          <w:color w:val="FF0000"/>
          <w:szCs w:val="24"/>
          <w:lang w:val="es-ES"/>
        </w:rPr>
        <w:t>no es / es</w:t>
      </w:r>
      <w:r>
        <w:rPr>
          <w:rFonts w:eastAsiaTheme="minorHAnsi"/>
          <w:szCs w:val="24"/>
          <w:lang w:val="es-ES"/>
        </w:rPr>
        <w:t xml:space="preserve"> una entidad dedicada a adquirir inmuebles o carteras de préstamos hipotecarios impagados por un precio claramente inferior a su valor de tasación, ni una persona jurídica con la condición de gran tenedor de vivienda, ni actúa por cuenta de ellas. Declara asimismo que el precio pactado no es inferior al setenta por ciento del valor de mercado de la vivienda, a los efectos del art</w:t>
      </w:r>
      <w:r w:rsidR="00D4754D">
        <w:rPr>
          <w:rFonts w:eastAsiaTheme="minorHAnsi"/>
          <w:szCs w:val="24"/>
          <w:lang w:val="es-ES"/>
        </w:rPr>
        <w:t>.</w:t>
      </w:r>
      <w:r>
        <w:rPr>
          <w:rFonts w:eastAsiaTheme="minorHAnsi"/>
          <w:szCs w:val="24"/>
          <w:lang w:val="es-ES"/>
        </w:rPr>
        <w:t xml:space="preserve"> 1 del Real Decreto-ley 29/2026, de 6 de octubre.</w:t>
      </w:r>
    </w:p>
    <w:p w14:paraId="6F0B2800" w14:textId="25B379FF" w:rsidR="002A2593"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si la compradora es una de las entidades del art</w:t>
      </w:r>
      <w:r w:rsidR="00D4754D">
        <w:rPr>
          <w:rFonts w:eastAsiaTheme="minorHAnsi"/>
          <w:i/>
          <w:iCs/>
          <w:color w:val="FF0000"/>
          <w:szCs w:val="24"/>
          <w:lang w:val="es-ES"/>
        </w:rPr>
        <w:t>.</w:t>
      </w:r>
      <w:r>
        <w:rPr>
          <w:rFonts w:eastAsiaTheme="minorHAnsi"/>
          <w:i/>
          <w:iCs/>
          <w:color w:val="FF0000"/>
          <w:szCs w:val="24"/>
          <w:lang w:val="es-ES"/>
        </w:rPr>
        <w:t xml:space="preserve"> 1 del Real Decreto-ley 29/2026, hasta el 31 de diciembre de 2030 no podrá adquirir viviendas por menos del 70 % de su valor de mercado determinado por sociedad de tasación homologada, salvo las excepciones de su apartado 2. Su vigencia depende de la convalidación del Congreso.]</w:t>
      </w:r>
    </w:p>
    <w:p w14:paraId="772B1431" w14:textId="77777777" w:rsidR="00D4754D" w:rsidRDefault="00D4754D">
      <w:pPr>
        <w:spacing w:after="160" w:line="259" w:lineRule="auto"/>
        <w:ind w:firstLine="708"/>
        <w:jc w:val="both"/>
      </w:pPr>
    </w:p>
    <w:p w14:paraId="3D0FB277" w14:textId="77777777" w:rsidR="00D4754D" w:rsidRDefault="00D4754D">
      <w:pPr>
        <w:spacing w:after="160" w:line="259" w:lineRule="auto"/>
        <w:ind w:firstLine="708"/>
        <w:jc w:val="both"/>
      </w:pPr>
    </w:p>
    <w:p w14:paraId="1A0A7087" w14:textId="77777777" w:rsidR="002A2593"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DUODÉCIMA. – RIESGOS DE LA FINCA</w:t>
      </w:r>
      <w:r>
        <w:rPr>
          <w:rFonts w:eastAsiaTheme="minorHAnsi"/>
          <w:szCs w:val="24"/>
          <w:lang w:val="es-ES"/>
        </w:rPr>
        <w:t>. Hasta el otorgamiento de la escritura, la parte vendedora soportará los daños que sufra la vivienda. Si antes de esa fecha la vivienda sufriera un siniestro que afecte gravemente a su habitabilidad, la parte compradora podrá optar entre dejar sin efecto el contrato, con devolución de las arras sin duplicar, o continuar con la compraventa con una reducción del precio proporcional al daño, fijada de común acuerdo o por perito designado por ambas partes.</w:t>
      </w:r>
    </w:p>
    <w:p w14:paraId="565996D3" w14:textId="77777777" w:rsidR="00D4754D" w:rsidRDefault="00D4754D">
      <w:pPr>
        <w:spacing w:after="160" w:line="259" w:lineRule="auto"/>
        <w:ind w:firstLine="708"/>
        <w:jc w:val="both"/>
      </w:pPr>
    </w:p>
    <w:p w14:paraId="1D8BAD82" w14:textId="77777777" w:rsidR="002A2593" w:rsidRDefault="00000000">
      <w:pPr>
        <w:spacing w:after="160" w:line="259" w:lineRule="auto"/>
        <w:ind w:firstLine="708"/>
        <w:jc w:val="both"/>
        <w:rPr>
          <w:rFonts w:eastAsiaTheme="minorHAnsi"/>
          <w:szCs w:val="24"/>
          <w:lang w:val="es-ES"/>
        </w:rPr>
      </w:pPr>
      <w:r>
        <w:rPr>
          <w:rFonts w:eastAsiaTheme="minorHAnsi"/>
          <w:b/>
          <w:bCs/>
          <w:szCs w:val="24"/>
          <w:lang w:val="es-ES"/>
        </w:rPr>
        <w:t>DECIMOTERCERA. – NOTIFICACIONES</w:t>
      </w:r>
      <w:r>
        <w:rPr>
          <w:rFonts w:eastAsiaTheme="minorHAnsi"/>
          <w:szCs w:val="24"/>
          <w:lang w:val="es-ES"/>
        </w:rPr>
        <w:t>. Las comunicaciones entre las partes se realizarán por escrito, por un medio que deje constancia de su envío, recepción y contenido, a los domicilios o direcciones electrónicas indicados en el encabezamiento. Cualquier cambio deberá notificarse a la otra parte; mientras tanto, serán válidas las comunicaciones dirigidas a los datos anteriores.</w:t>
      </w:r>
    </w:p>
    <w:p w14:paraId="718D4A84" w14:textId="77777777" w:rsidR="00D4754D" w:rsidRDefault="00D4754D">
      <w:pPr>
        <w:spacing w:after="160" w:line="259" w:lineRule="auto"/>
        <w:ind w:firstLine="708"/>
        <w:jc w:val="both"/>
      </w:pPr>
    </w:p>
    <w:p w14:paraId="128C0C20" w14:textId="77777777" w:rsidR="002A2593" w:rsidRDefault="00000000">
      <w:pPr>
        <w:spacing w:after="160" w:line="259" w:lineRule="auto"/>
        <w:ind w:firstLine="708"/>
        <w:jc w:val="both"/>
        <w:rPr>
          <w:rFonts w:eastAsiaTheme="minorHAnsi"/>
          <w:szCs w:val="24"/>
          <w:lang w:val="es-ES"/>
        </w:rPr>
      </w:pPr>
      <w:r>
        <w:rPr>
          <w:rFonts w:eastAsiaTheme="minorHAnsi"/>
          <w:b/>
          <w:bCs/>
          <w:szCs w:val="24"/>
          <w:lang w:val="es-ES"/>
        </w:rPr>
        <w:t>DECIMOCUARTA. – PROTECCIÓN DE DATOS</w:t>
      </w:r>
      <w:r>
        <w:rPr>
          <w:rFonts w:eastAsiaTheme="minorHAnsi"/>
          <w:szCs w:val="24"/>
          <w:lang w:val="es-ES"/>
        </w:rPr>
        <w:t>. Cada parte tratará los datos personales de la otra con la única finalidad de ejecutar este contrato y la compraventa a la que se refiere, y de cumplir las obligaciones legales que de ella derivan, conforme al Reglamento (UE) 2016/679 y a la Ley Orgánica 3/2018, de 5 de diciembre. Los datos se comunicarán únicamente al notario, al Registro de la Propiedad, a las entidades financieras, a la Administración tributaria y a los profesionales que intervengan, y se conservarán durante los plazos de prescripción de las acciones derivadas del contrato. Las partes pueden ejercer sus derechos de acceso, rectificación, supresión, limitación, oposición y portabilidad dirigiéndose a la otra parte, y reclamar ante la autoridad de control.</w:t>
      </w:r>
    </w:p>
    <w:p w14:paraId="7F3FC93D" w14:textId="77777777" w:rsidR="00D4754D" w:rsidRDefault="00D4754D">
      <w:pPr>
        <w:spacing w:after="160" w:line="259" w:lineRule="auto"/>
        <w:ind w:firstLine="708"/>
        <w:jc w:val="both"/>
      </w:pPr>
    </w:p>
    <w:p w14:paraId="21B9EE6F" w14:textId="77777777" w:rsidR="002A2593" w:rsidRDefault="00000000">
      <w:pPr>
        <w:spacing w:after="160" w:line="259" w:lineRule="auto"/>
        <w:ind w:firstLine="708"/>
        <w:jc w:val="both"/>
        <w:rPr>
          <w:rFonts w:eastAsiaTheme="minorHAnsi"/>
          <w:szCs w:val="24"/>
          <w:lang w:val="es-ES"/>
        </w:rPr>
      </w:pPr>
      <w:r>
        <w:rPr>
          <w:rFonts w:eastAsiaTheme="minorHAnsi"/>
          <w:b/>
          <w:bCs/>
          <w:szCs w:val="24"/>
          <w:lang w:val="es-ES"/>
        </w:rPr>
        <w:t>DECIMOQUINTA. – MEDIOS ADECUADOS DE SOLUCIÓN DE CONTROVERSIAS</w:t>
      </w:r>
      <w:r>
        <w:rPr>
          <w:rFonts w:eastAsiaTheme="minorHAnsi"/>
          <w:szCs w:val="24"/>
          <w:lang w:val="es-ES"/>
        </w:rPr>
        <w:t>. Antes de acudir a la vía judicial, cuando la ley lo exija como requisito de procedibilidad, las partes intentarán resolver sus discrepancias mediante alguno de los medios adecuados de solución de controversias previstos en la Ley Orgánica 1/2025, de 2 de enero, y preferentemente mediante oferta vinculante confidencial (art. 17), que podrá formular cualquiera de ellas directamente o a través de abogado. La oferta se remitirá a los datos designados en este contrato y, si no se acepta expresamente en el plazo de un mes, decaerá y quedará cumplido dicho requisito. Cada parte abonará los honorarios de los profesionales que la asistan.</w:t>
      </w:r>
    </w:p>
    <w:p w14:paraId="35112E6D" w14:textId="77777777" w:rsidR="00D4754D" w:rsidRDefault="00D4754D">
      <w:pPr>
        <w:spacing w:after="160" w:line="259" w:lineRule="auto"/>
        <w:ind w:firstLine="708"/>
        <w:jc w:val="both"/>
        <w:rPr>
          <w:rFonts w:eastAsiaTheme="minorHAnsi"/>
          <w:szCs w:val="24"/>
          <w:lang w:val="es-ES"/>
        </w:rPr>
      </w:pPr>
    </w:p>
    <w:p w14:paraId="70E91C1D" w14:textId="77777777" w:rsidR="00D4754D" w:rsidRDefault="00D4754D">
      <w:pPr>
        <w:spacing w:after="160" w:line="259" w:lineRule="auto"/>
        <w:ind w:firstLine="708"/>
        <w:jc w:val="both"/>
        <w:rPr>
          <w:rFonts w:eastAsiaTheme="minorHAnsi"/>
          <w:szCs w:val="24"/>
          <w:lang w:val="es-ES"/>
        </w:rPr>
      </w:pPr>
    </w:p>
    <w:p w14:paraId="2547FA4B" w14:textId="77777777" w:rsidR="00D4754D" w:rsidRDefault="00D4754D">
      <w:pPr>
        <w:spacing w:after="160" w:line="259" w:lineRule="auto"/>
        <w:ind w:firstLine="708"/>
        <w:jc w:val="both"/>
      </w:pPr>
    </w:p>
    <w:p w14:paraId="74FCE4C0" w14:textId="3C920DCD" w:rsidR="002A2593"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DECIMOSEXTA. – LEGISLACIÓN APLICABLE Y JURISDICCIÓN</w:t>
      </w:r>
      <w:r>
        <w:rPr>
          <w:rFonts w:eastAsiaTheme="minorHAnsi"/>
          <w:szCs w:val="24"/>
          <w:lang w:val="es-ES"/>
        </w:rPr>
        <w:t>. Este contrato se rige por lo pactado en él y, en lo no previsto, por los arts</w:t>
      </w:r>
      <w:r w:rsidR="00D4754D">
        <w:rPr>
          <w:rFonts w:eastAsiaTheme="minorHAnsi"/>
          <w:szCs w:val="24"/>
          <w:lang w:val="es-ES"/>
        </w:rPr>
        <w:t>.</w:t>
      </w:r>
      <w:r>
        <w:rPr>
          <w:rFonts w:eastAsiaTheme="minorHAnsi"/>
          <w:szCs w:val="24"/>
          <w:lang w:val="es-ES"/>
        </w:rPr>
        <w:t xml:space="preserve"> 1445 y siguientes del Código Civil. Para la resolución de cualquier controversia, las partes se someten a los Juzgados y Tribunales del lugar en que radica la finca.</w:t>
      </w:r>
    </w:p>
    <w:p w14:paraId="715ED00E" w14:textId="77777777" w:rsidR="00D4754D" w:rsidRDefault="00D4754D">
      <w:pPr>
        <w:spacing w:after="160" w:line="259" w:lineRule="auto"/>
        <w:ind w:firstLine="708"/>
        <w:jc w:val="both"/>
      </w:pPr>
    </w:p>
    <w:p w14:paraId="24E07E15" w14:textId="77777777" w:rsidR="002A2593" w:rsidRDefault="00000000">
      <w:pPr>
        <w:spacing w:after="160" w:line="259" w:lineRule="auto"/>
        <w:ind w:firstLine="708"/>
        <w:jc w:val="both"/>
      </w:pPr>
      <w:r>
        <w:rPr>
          <w:rFonts w:eastAsiaTheme="minorHAnsi"/>
          <w:b/>
          <w:bCs/>
          <w:szCs w:val="24"/>
          <w:lang w:val="es-ES"/>
        </w:rPr>
        <w:t>DECIMOSÉPTIMA. – EJEMPLARES Y ANEXOS</w:t>
      </w:r>
      <w:r>
        <w:rPr>
          <w:rFonts w:eastAsiaTheme="minorHAnsi"/>
          <w:szCs w:val="24"/>
          <w:lang w:val="es-ES"/>
        </w:rPr>
        <w:t>. Este contrato se firma por duplicado, a un solo efecto, rubricándose todas sus páginas. Forman parte de él los siguientes anexos:</w:t>
      </w:r>
    </w:p>
    <w:p w14:paraId="5351A77F" w14:textId="77777777" w:rsidR="002A2593" w:rsidRDefault="00000000">
      <w:pPr>
        <w:spacing w:after="160" w:line="259" w:lineRule="auto"/>
        <w:ind w:firstLine="708"/>
        <w:jc w:val="both"/>
      </w:pPr>
      <w:r>
        <w:rPr>
          <w:rFonts w:eastAsiaTheme="minorHAnsi"/>
          <w:szCs w:val="24"/>
          <w:lang w:val="es-ES"/>
        </w:rPr>
        <w:t>- Anexo I: nota simple registral actualizada.</w:t>
      </w:r>
    </w:p>
    <w:p w14:paraId="7E9391FE" w14:textId="77777777" w:rsidR="002A2593" w:rsidRDefault="00000000">
      <w:pPr>
        <w:spacing w:after="160" w:line="259" w:lineRule="auto"/>
        <w:ind w:firstLine="708"/>
        <w:jc w:val="both"/>
      </w:pPr>
      <w:r>
        <w:rPr>
          <w:rFonts w:eastAsiaTheme="minorHAnsi"/>
          <w:szCs w:val="24"/>
          <w:lang w:val="es-ES"/>
        </w:rPr>
        <w:t>- Anexo II: certificado de eficiencia energética.</w:t>
      </w:r>
    </w:p>
    <w:p w14:paraId="7E54BBD3" w14:textId="77777777" w:rsidR="002A2593" w:rsidRDefault="00000000">
      <w:pPr>
        <w:spacing w:after="160" w:line="259" w:lineRule="auto"/>
        <w:ind w:firstLine="708"/>
        <w:jc w:val="both"/>
      </w:pPr>
      <w:r>
        <w:rPr>
          <w:rFonts w:eastAsiaTheme="minorHAnsi"/>
          <w:szCs w:val="24"/>
          <w:lang w:val="es-ES"/>
        </w:rPr>
        <w:t>- Anexo III: justificante del pago de las arras.</w:t>
      </w:r>
    </w:p>
    <w:p w14:paraId="13B685EA" w14:textId="77777777" w:rsidR="002A2593" w:rsidRDefault="00000000">
      <w:pPr>
        <w:spacing w:after="160" w:line="259" w:lineRule="auto"/>
        <w:ind w:firstLine="708"/>
        <w:jc w:val="both"/>
      </w:pPr>
      <w:r>
        <w:rPr>
          <w:rFonts w:eastAsiaTheme="minorHAnsi"/>
          <w:szCs w:val="24"/>
          <w:lang w:val="es-ES"/>
        </w:rPr>
        <w:t>- Anexo IV: copia de los documentos de identidad de las partes.</w:t>
      </w:r>
    </w:p>
    <w:p w14:paraId="5C3C2A03" w14:textId="77777777" w:rsidR="002A2593" w:rsidRDefault="002A2593"/>
    <w:p w14:paraId="178E6296" w14:textId="5D609D86" w:rsidR="002A2593" w:rsidRDefault="00000000" w:rsidP="00D4754D">
      <w:pPr>
        <w:spacing w:after="160" w:line="259" w:lineRule="auto"/>
        <w:ind w:firstLine="708"/>
        <w:jc w:val="both"/>
      </w:pPr>
      <w:r>
        <w:rPr>
          <w:rFonts w:eastAsiaTheme="minorHAnsi"/>
          <w:szCs w:val="24"/>
          <w:lang w:val="es-ES"/>
        </w:rPr>
        <w:t>Y en prueba de su plena conformidad, las partes suscriben este documento en el lugar y la fecha que constan al comienzo.</w:t>
      </w:r>
    </w:p>
    <w:p w14:paraId="22C1E8E2" w14:textId="77777777" w:rsidR="00D4754D" w:rsidRDefault="00D4754D" w:rsidP="00D4754D">
      <w:pPr>
        <w:spacing w:after="160" w:line="259" w:lineRule="auto"/>
        <w:ind w:firstLine="708"/>
        <w:jc w:val="both"/>
      </w:pPr>
    </w:p>
    <w:p w14:paraId="6A7C6D18" w14:textId="77777777" w:rsidR="00D4754D" w:rsidRPr="006F2F05" w:rsidRDefault="00D4754D" w:rsidP="00D4754D">
      <w:pPr>
        <w:spacing w:after="160" w:line="259" w:lineRule="auto"/>
        <w:ind w:firstLine="708"/>
        <w:jc w:val="both"/>
        <w:rPr>
          <w:lang w:val="es-ES"/>
        </w:rPr>
      </w:pPr>
      <w:r w:rsidRPr="006F2F05">
        <w:rPr>
          <w:b/>
          <w:bCs/>
          <w:lang w:val="es-ES"/>
        </w:rPr>
        <w:t>ADVERTENCIA</w:t>
      </w:r>
      <w:r>
        <w:rPr>
          <w:lang w:val="es-ES"/>
        </w:rPr>
        <w:t>:</w:t>
      </w:r>
      <w:r w:rsidRPr="006F2F05">
        <w:rPr>
          <w:lang w:val="es-ES"/>
        </w:rPr>
        <w:t xml:space="preserve"> Este documento es una obra original de D. Juan Ángel Pujante Manzano, abogado colegiado n.º 7862 del Ilustre Colegio de la Abogacía de Murcia. Está protegida como creación literaria por el art</w:t>
      </w:r>
      <w:r>
        <w:rPr>
          <w:lang w:val="es-ES"/>
        </w:rPr>
        <w:t>.</w:t>
      </w:r>
      <w:r w:rsidRPr="006F2F05">
        <w:rPr>
          <w:lang w:val="es-ES"/>
        </w:rPr>
        <w:t xml:space="preserve"> 10.1.a) del texto refundido de la Ley de Propiedad Intelectual (TRLPI). La protección alcanza a su redacción, a su estructura y sistemática, y a la selección y disposición de su contenido.</w:t>
      </w:r>
    </w:p>
    <w:p w14:paraId="42721560" w14:textId="70A7BA33" w:rsidR="00D4754D" w:rsidRDefault="00D4754D" w:rsidP="00D4754D">
      <w:pPr>
        <w:spacing w:after="160" w:line="259" w:lineRule="auto"/>
        <w:ind w:firstLine="708"/>
        <w:jc w:val="both"/>
        <w:rPr>
          <w:lang w:val="es-ES"/>
        </w:rPr>
      </w:pPr>
      <w:r w:rsidRPr="006F2F05">
        <w:rPr>
          <w:lang w:val="es-ES"/>
        </w:rPr>
        <w:t xml:space="preserve">Las partes firmantes solo pueden utilizar este documento para formalizar, ejecutar y, en su caso, hacer valer el contrato de </w:t>
      </w:r>
      <w:r w:rsidR="003418C6">
        <w:rPr>
          <w:lang w:val="es-ES"/>
        </w:rPr>
        <w:t>arras</w:t>
      </w:r>
      <w:r w:rsidRPr="006F2F05">
        <w:rPr>
          <w:lang w:val="es-ES"/>
        </w:rPr>
        <w:t xml:space="preserve"> al que se refiere. Queda prohibida cualquier otra reproducción, total o parcial, así como su distribución, comunicación pública, transformación o adaptación a otros contratos, por cualquier medio o soporte, sin autorización previa y escrita del autor (art. 17 TRLPI). Esta prohibición se extiende expresamente a su uso con fines comerciales o profesionales, con independencia de que quien lo utilice sea o no abogado u otro profesional.</w:t>
      </w:r>
    </w:p>
    <w:p w14:paraId="2DAACDAE" w14:textId="77777777" w:rsidR="00D4754D" w:rsidRDefault="00D4754D" w:rsidP="00D4754D">
      <w:pPr>
        <w:spacing w:after="160" w:line="259" w:lineRule="auto"/>
        <w:ind w:firstLine="708"/>
        <w:jc w:val="both"/>
        <w:rPr>
          <w:lang w:val="es-ES"/>
        </w:rPr>
      </w:pPr>
      <w:r w:rsidRPr="006F2F05">
        <w:rPr>
          <w:lang w:val="es-ES"/>
        </w:rPr>
        <w:t>La infracción de estos derechos faculta al autor para pedir el cese de la actividad ilícita y la indemnización de los daños materiales y morales causados, incluido el beneficio que haya dejado de obtener (arts. 138 y 140 TRLPI). Si existe ánimo de obtener un beneficio económico directo o indirecto, en perjuicio de tercero, el hecho puede ser constitutivo del delito previsto en el art</w:t>
      </w:r>
      <w:r>
        <w:rPr>
          <w:lang w:val="es-ES"/>
        </w:rPr>
        <w:t>.</w:t>
      </w:r>
      <w:r w:rsidRPr="006F2F05">
        <w:rPr>
          <w:lang w:val="es-ES"/>
        </w:rPr>
        <w:t xml:space="preserve"> 270 del Código Penal.</w:t>
      </w:r>
    </w:p>
    <w:p w14:paraId="40D351BD" w14:textId="77777777" w:rsidR="00D4754D" w:rsidRDefault="00D4754D" w:rsidP="00D4754D">
      <w:pPr>
        <w:spacing w:after="160" w:line="259" w:lineRule="auto"/>
        <w:ind w:firstLine="708"/>
        <w:jc w:val="both"/>
        <w:rPr>
          <w:lang w:val="es-ES"/>
        </w:rPr>
      </w:pPr>
    </w:p>
    <w:p w14:paraId="0CA162D5" w14:textId="77777777" w:rsidR="00D4754D" w:rsidRPr="002D54E2" w:rsidRDefault="00D4754D" w:rsidP="00D4754D">
      <w:pPr>
        <w:spacing w:after="160" w:line="259" w:lineRule="auto"/>
        <w:ind w:firstLine="708"/>
        <w:jc w:val="both"/>
        <w:rPr>
          <w:lang w:val="es-ES"/>
        </w:rPr>
      </w:pPr>
      <w:r w:rsidRPr="002D54E2">
        <w:rPr>
          <w:lang w:val="es-ES"/>
        </w:rPr>
        <w:lastRenderedPageBreak/>
        <w:t>Este texto es un modelo de carácter general y orientativo, redactado conforme a la normativa vigente en la fecha de su elaboración. No constituye asesoramiento jurídico personalizado ni sustituye el estudio de cada caso concreto por un profesional. Antes de firmarlo deben comprobarse los datos de las partes y de la vivienda, la normativa autonómica aplicable y la vigencia de las normas citadas, que pueden ser modificadas, derogadas o no convalidadas después de su redacción.</w:t>
      </w:r>
    </w:p>
    <w:p w14:paraId="13046456" w14:textId="6B4C4C94" w:rsidR="002A2593" w:rsidRPr="00D4754D" w:rsidRDefault="00D4754D" w:rsidP="00D4754D">
      <w:pPr>
        <w:spacing w:after="160" w:line="259" w:lineRule="auto"/>
        <w:ind w:firstLine="708"/>
        <w:jc w:val="both"/>
        <w:rPr>
          <w:lang w:val="es-ES"/>
        </w:rPr>
      </w:pPr>
      <w:r w:rsidRPr="002D54E2">
        <w:rPr>
          <w:lang w:val="es-ES"/>
        </w:rPr>
        <w:t>El autor no asume responsabilidad alguna por el uso de este modelo sin su intervención profesional. Tampoco responde de su adaptación o modificación por terceros</w:t>
      </w:r>
      <w:r>
        <w:rPr>
          <w:lang w:val="es-ES"/>
        </w:rPr>
        <w:t xml:space="preserve"> que estarían cometiendo un posible delito</w:t>
      </w:r>
      <w:r w:rsidRPr="002D54E2">
        <w:rPr>
          <w:lang w:val="es-ES"/>
        </w:rPr>
        <w:t xml:space="preserve">, </w:t>
      </w:r>
      <w:r>
        <w:rPr>
          <w:lang w:val="es-ES"/>
        </w:rPr>
        <w:t xml:space="preserve">así como </w:t>
      </w:r>
      <w:r w:rsidRPr="002D54E2">
        <w:rPr>
          <w:lang w:val="es-ES"/>
        </w:rPr>
        <w:t xml:space="preserve">de los datos introducidos por los usuarios </w:t>
      </w:r>
      <w:r>
        <w:rPr>
          <w:lang w:val="es-ES"/>
        </w:rPr>
        <w:t>o</w:t>
      </w:r>
      <w:r w:rsidRPr="002D54E2">
        <w:rPr>
          <w:lang w:val="es-ES"/>
        </w:rPr>
        <w:t xml:space="preserve"> de las consecuencias de cambios normativos o jurisprudenciales posteriores a su redacción.</w:t>
      </w:r>
    </w:p>
    <w:sectPr w:rsidR="002A2593" w:rsidRPr="00D4754D">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4E131" w14:textId="77777777" w:rsidR="005F5050" w:rsidRDefault="005F5050" w:rsidP="00274E79">
      <w:r>
        <w:separator/>
      </w:r>
    </w:p>
  </w:endnote>
  <w:endnote w:type="continuationSeparator" w:id="0">
    <w:p w14:paraId="59A07DE8" w14:textId="77777777" w:rsidR="005F5050" w:rsidRDefault="005F5050" w:rsidP="0027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856D" w14:textId="77777777" w:rsidR="00DB37A5" w:rsidRDefault="00DB37A5">
    <w:pPr>
      <w:pStyle w:val="Piedepgina"/>
    </w:pPr>
  </w:p>
  <w:p w14:paraId="57D295DD" w14:textId="77777777" w:rsidR="00DB37A5" w:rsidRPr="00DB37A5" w:rsidRDefault="00DB37A5">
    <w:pPr>
      <w:pStyle w:val="Piedepgina"/>
      <w:rPr>
        <w:b/>
        <w:bCs/>
      </w:rPr>
    </w:pPr>
    <w:r w:rsidRPr="00DB37A5">
      <w:rPr>
        <w:b/>
        <w:bCs/>
      </w:rPr>
      <w:t>LA PARTE VENDEDORA</w:t>
    </w:r>
    <w:r w:rsidRPr="00DB37A5">
      <w:rPr>
        <w:b/>
        <w:bCs/>
      </w:rPr>
      <w:tab/>
    </w:r>
    <w:r w:rsidRPr="00DB37A5">
      <w:rPr>
        <w:b/>
        <w:bCs/>
      </w:rPr>
      <w:tab/>
    </w:r>
    <w:r>
      <w:rPr>
        <w:b/>
        <w:bCs/>
      </w:rPr>
      <w:t>LA PARTE COMPRADORA</w:t>
    </w:r>
  </w:p>
  <w:p w14:paraId="44CC355F" w14:textId="77777777" w:rsidR="00DB37A5" w:rsidRDefault="00DB37A5">
    <w:pPr>
      <w:pStyle w:val="Piedepgina"/>
    </w:pPr>
  </w:p>
  <w:p w14:paraId="6928618A" w14:textId="77777777" w:rsidR="00DB37A5" w:rsidRDefault="00DB37A5">
    <w:pPr>
      <w:pStyle w:val="Piedepgina"/>
    </w:pPr>
  </w:p>
  <w:p w14:paraId="4D32D7C7" w14:textId="77777777" w:rsidR="00DB37A5" w:rsidRDefault="00DB37A5">
    <w:pPr>
      <w:pStyle w:val="Piedepgina"/>
    </w:pPr>
  </w:p>
  <w:p w14:paraId="328CD5AB" w14:textId="77777777" w:rsidR="00DB37A5" w:rsidRDefault="00DB37A5">
    <w:pPr>
      <w:pStyle w:val="Piedepgina"/>
    </w:pPr>
  </w:p>
  <w:p w14:paraId="5FEDDBEF" w14:textId="77777777" w:rsidR="00DB37A5" w:rsidRDefault="00DB37A5">
    <w:pPr>
      <w:pStyle w:val="Piedepgina"/>
    </w:pPr>
  </w:p>
  <w:p w14:paraId="431B3F5C" w14:textId="77777777" w:rsidR="00DB37A5" w:rsidRDefault="00DB37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55CCC" w14:textId="77777777" w:rsidR="005F5050" w:rsidRDefault="005F5050" w:rsidP="00274E79">
      <w:r>
        <w:separator/>
      </w:r>
    </w:p>
  </w:footnote>
  <w:footnote w:type="continuationSeparator" w:id="0">
    <w:p w14:paraId="556787A2" w14:textId="77777777" w:rsidR="005F5050" w:rsidRDefault="005F5050" w:rsidP="0027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427069"/>
      <w:docPartObj>
        <w:docPartGallery w:val="Page Numbers (Margins)"/>
        <w:docPartUnique/>
      </w:docPartObj>
    </w:sdtPr>
    <w:sdtContent>
      <w:p w14:paraId="58162753" w14:textId="77777777" w:rsidR="00274E79" w:rsidRDefault="00AE1764">
        <w:pPr>
          <w:pStyle w:val="Encabezado"/>
        </w:pPr>
        <w:r>
          <w:rPr>
            <w:noProof/>
          </w:rPr>
          <mc:AlternateContent>
            <mc:Choice Requires="wps">
              <w:drawing>
                <wp:anchor distT="0" distB="0" distL="114300" distR="114300" simplePos="0" relativeHeight="251659264" behindDoc="0" locked="0" layoutInCell="0" allowOverlap="1" wp14:anchorId="6487FB54" wp14:editId="4FC1B888">
                  <wp:simplePos x="0" y="0"/>
                  <wp:positionH relativeFrom="rightMargin">
                    <wp:align>center</wp:align>
                  </wp:positionH>
                  <wp:positionV relativeFrom="margin">
                    <wp:align>bottom</wp:align>
                  </wp:positionV>
                  <wp:extent cx="510540" cy="2183130"/>
                  <wp:effectExtent l="0" t="0" r="381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0C47"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487FB54" id="Rectángulo 2"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5D10C47"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40635"/>
    <w:multiLevelType w:val="hybridMultilevel"/>
    <w:tmpl w:val="A7B6858C"/>
    <w:lvl w:ilvl="0" w:tplc="E488F17C">
      <w:start w:val="2"/>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04105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8A"/>
    <w:rsid w:val="00090AFC"/>
    <w:rsid w:val="000D58DE"/>
    <w:rsid w:val="000F08F0"/>
    <w:rsid w:val="001503FB"/>
    <w:rsid w:val="001E2F0F"/>
    <w:rsid w:val="00211F8F"/>
    <w:rsid w:val="002477E9"/>
    <w:rsid w:val="00274E79"/>
    <w:rsid w:val="00283A7A"/>
    <w:rsid w:val="002914F6"/>
    <w:rsid w:val="002A2593"/>
    <w:rsid w:val="002A67A8"/>
    <w:rsid w:val="002B248E"/>
    <w:rsid w:val="002B7C5F"/>
    <w:rsid w:val="002D0864"/>
    <w:rsid w:val="003418C6"/>
    <w:rsid w:val="00341A85"/>
    <w:rsid w:val="00355824"/>
    <w:rsid w:val="003628CE"/>
    <w:rsid w:val="003734EF"/>
    <w:rsid w:val="0040400B"/>
    <w:rsid w:val="00470EAA"/>
    <w:rsid w:val="00472715"/>
    <w:rsid w:val="004A1D10"/>
    <w:rsid w:val="004F7355"/>
    <w:rsid w:val="0050524B"/>
    <w:rsid w:val="0053196A"/>
    <w:rsid w:val="00536947"/>
    <w:rsid w:val="005969AE"/>
    <w:rsid w:val="005A2929"/>
    <w:rsid w:val="005C2294"/>
    <w:rsid w:val="005C721A"/>
    <w:rsid w:val="005D06B0"/>
    <w:rsid w:val="005F5050"/>
    <w:rsid w:val="00603787"/>
    <w:rsid w:val="00632462"/>
    <w:rsid w:val="006737C1"/>
    <w:rsid w:val="00753FAC"/>
    <w:rsid w:val="007A3398"/>
    <w:rsid w:val="007E05B6"/>
    <w:rsid w:val="007F40B3"/>
    <w:rsid w:val="00814E4F"/>
    <w:rsid w:val="00820807"/>
    <w:rsid w:val="00827E05"/>
    <w:rsid w:val="008A1A37"/>
    <w:rsid w:val="00916706"/>
    <w:rsid w:val="009D2D84"/>
    <w:rsid w:val="009D5324"/>
    <w:rsid w:val="00A4176E"/>
    <w:rsid w:val="00AA0C6D"/>
    <w:rsid w:val="00AB3531"/>
    <w:rsid w:val="00AE1764"/>
    <w:rsid w:val="00AF421E"/>
    <w:rsid w:val="00AF5C9B"/>
    <w:rsid w:val="00B1607E"/>
    <w:rsid w:val="00B22F83"/>
    <w:rsid w:val="00B3076B"/>
    <w:rsid w:val="00B32FDA"/>
    <w:rsid w:val="00B34A6E"/>
    <w:rsid w:val="00B50685"/>
    <w:rsid w:val="00B6638A"/>
    <w:rsid w:val="00B67244"/>
    <w:rsid w:val="00BA5D73"/>
    <w:rsid w:val="00BB4687"/>
    <w:rsid w:val="00C0094B"/>
    <w:rsid w:val="00C33AE6"/>
    <w:rsid w:val="00C71DD8"/>
    <w:rsid w:val="00C71F3B"/>
    <w:rsid w:val="00C90ECA"/>
    <w:rsid w:val="00C92A0D"/>
    <w:rsid w:val="00CE6F74"/>
    <w:rsid w:val="00CF546E"/>
    <w:rsid w:val="00D04BAC"/>
    <w:rsid w:val="00D4754D"/>
    <w:rsid w:val="00D82D94"/>
    <w:rsid w:val="00DA1B1B"/>
    <w:rsid w:val="00DB37A5"/>
    <w:rsid w:val="00DD3029"/>
    <w:rsid w:val="00DE4995"/>
    <w:rsid w:val="00DE5244"/>
    <w:rsid w:val="00E614E0"/>
    <w:rsid w:val="00E82C52"/>
    <w:rsid w:val="00ED6A8D"/>
    <w:rsid w:val="00F141E2"/>
    <w:rsid w:val="00F179F3"/>
    <w:rsid w:val="00FF3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520D0"/>
  <w15:chartTrackingRefBased/>
  <w15:docId w15:val="{104C654B-D474-48C0-9343-35B2ADB3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79"/>
    <w:pPr>
      <w:spacing w:after="0" w:line="240" w:lineRule="auto"/>
    </w:pPr>
    <w:rPr>
      <w:rFonts w:ascii="Times New Roman" w:eastAsia="Times New Roman" w:hAnsi="Times New Roman" w:cs="Times New Roman"/>
      <w:sz w:val="24"/>
      <w:szCs w:val="20"/>
      <w:lang w:val="es-ES_tradnl"/>
    </w:rPr>
  </w:style>
  <w:style w:type="paragraph" w:styleId="Ttulo3">
    <w:name w:val="heading 3"/>
    <w:basedOn w:val="Normal"/>
    <w:link w:val="Ttulo3Car"/>
    <w:uiPriority w:val="9"/>
    <w:qFormat/>
    <w:rsid w:val="00283A7A"/>
    <w:pPr>
      <w:spacing w:before="100" w:beforeAutospacing="1" w:after="100" w:afterAutospacing="1"/>
      <w:outlineLvl w:val="2"/>
    </w:pPr>
    <w:rPr>
      <w:b/>
      <w:bCs/>
      <w:sz w:val="27"/>
      <w:szCs w:val="27"/>
      <w:lang w:val="es-ES" w:eastAsia="es-ES"/>
    </w:rPr>
  </w:style>
  <w:style w:type="paragraph" w:styleId="Ttulo5">
    <w:name w:val="heading 5"/>
    <w:basedOn w:val="Normal"/>
    <w:next w:val="Normal"/>
    <w:link w:val="Ttulo5Car"/>
    <w:uiPriority w:val="9"/>
    <w:semiHidden/>
    <w:unhideWhenUsed/>
    <w:qFormat/>
    <w:rsid w:val="00AB3531"/>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4E79"/>
    <w:pPr>
      <w:tabs>
        <w:tab w:val="center" w:pos="4252"/>
        <w:tab w:val="right" w:pos="8504"/>
      </w:tabs>
    </w:pPr>
  </w:style>
  <w:style w:type="character" w:customStyle="1" w:styleId="EncabezadoCar">
    <w:name w:val="Encabezado Car"/>
    <w:basedOn w:val="Fuentedeprrafopredeter"/>
    <w:link w:val="Encabezado"/>
    <w:uiPriority w:val="99"/>
    <w:rsid w:val="00274E79"/>
    <w:rPr>
      <w:rFonts w:ascii="Times New Roman" w:eastAsia="Times New Roman" w:hAnsi="Times New Roman" w:cs="Times New Roman"/>
      <w:sz w:val="24"/>
      <w:szCs w:val="20"/>
      <w:lang w:val="es-ES_tradnl"/>
    </w:rPr>
  </w:style>
  <w:style w:type="paragraph" w:styleId="Piedepgina">
    <w:name w:val="footer"/>
    <w:basedOn w:val="Normal"/>
    <w:link w:val="PiedepginaCar"/>
    <w:uiPriority w:val="99"/>
    <w:unhideWhenUsed/>
    <w:rsid w:val="00274E79"/>
    <w:pPr>
      <w:tabs>
        <w:tab w:val="center" w:pos="4252"/>
        <w:tab w:val="right" w:pos="8504"/>
      </w:tabs>
    </w:pPr>
  </w:style>
  <w:style w:type="character" w:customStyle="1" w:styleId="PiedepginaCar">
    <w:name w:val="Pie de página Car"/>
    <w:basedOn w:val="Fuentedeprrafopredeter"/>
    <w:link w:val="Piedepgina"/>
    <w:uiPriority w:val="99"/>
    <w:rsid w:val="00274E79"/>
    <w:rPr>
      <w:rFonts w:ascii="Times New Roman" w:eastAsia="Times New Roman" w:hAnsi="Times New Roman" w:cs="Times New Roman"/>
      <w:sz w:val="24"/>
      <w:szCs w:val="20"/>
      <w:lang w:val="es-ES_tradnl"/>
    </w:rPr>
  </w:style>
  <w:style w:type="paragraph" w:customStyle="1" w:styleId="Default">
    <w:name w:val="Default"/>
    <w:rsid w:val="00274E7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semiHidden/>
    <w:rsid w:val="00DB37A5"/>
    <w:rPr>
      <w:sz w:val="20"/>
    </w:rPr>
  </w:style>
  <w:style w:type="character" w:customStyle="1" w:styleId="TextonotapieCar">
    <w:name w:val="Texto nota pie Car"/>
    <w:basedOn w:val="Fuentedeprrafopredeter"/>
    <w:link w:val="Textonotapie"/>
    <w:semiHidden/>
    <w:rsid w:val="00DB37A5"/>
    <w:rPr>
      <w:rFonts w:ascii="Times New Roman" w:eastAsia="Times New Roman" w:hAnsi="Times New Roman" w:cs="Times New Roman"/>
      <w:sz w:val="20"/>
      <w:szCs w:val="20"/>
      <w:lang w:val="es-ES_tradnl"/>
    </w:rPr>
  </w:style>
  <w:style w:type="character" w:styleId="Refdenotaalpie">
    <w:name w:val="footnote reference"/>
    <w:semiHidden/>
    <w:rsid w:val="00DB37A5"/>
    <w:rPr>
      <w:vertAlign w:val="superscript"/>
    </w:rPr>
  </w:style>
  <w:style w:type="paragraph" w:styleId="Prrafodelista">
    <w:name w:val="List Paragraph"/>
    <w:basedOn w:val="Normal"/>
    <w:uiPriority w:val="34"/>
    <w:qFormat/>
    <w:rsid w:val="00DB37A5"/>
    <w:pPr>
      <w:ind w:left="720"/>
      <w:contextualSpacing/>
    </w:pPr>
  </w:style>
  <w:style w:type="character" w:customStyle="1" w:styleId="hgkelc">
    <w:name w:val="hgkelc"/>
    <w:basedOn w:val="Fuentedeprrafopredeter"/>
    <w:rsid w:val="003734EF"/>
  </w:style>
  <w:style w:type="character" w:customStyle="1" w:styleId="Ttulo3Car">
    <w:name w:val="Título 3 Car"/>
    <w:basedOn w:val="Fuentedeprrafopredeter"/>
    <w:link w:val="Ttulo3"/>
    <w:uiPriority w:val="9"/>
    <w:rsid w:val="00283A7A"/>
    <w:rPr>
      <w:rFonts w:ascii="Times New Roman" w:eastAsia="Times New Roman" w:hAnsi="Times New Roman" w:cs="Times New Roman"/>
      <w:b/>
      <w:bCs/>
      <w:sz w:val="27"/>
      <w:szCs w:val="27"/>
      <w:lang w:eastAsia="es-ES"/>
    </w:rPr>
  </w:style>
  <w:style w:type="character" w:customStyle="1" w:styleId="Ttulo5Car">
    <w:name w:val="Título 5 Car"/>
    <w:basedOn w:val="Fuentedeprrafopredeter"/>
    <w:link w:val="Ttulo5"/>
    <w:uiPriority w:val="9"/>
    <w:semiHidden/>
    <w:rsid w:val="00AB3531"/>
    <w:rPr>
      <w:rFonts w:asciiTheme="majorHAnsi" w:eastAsiaTheme="majorEastAsia" w:hAnsiTheme="majorHAnsi" w:cstheme="majorBidi"/>
      <w:color w:val="2F5496" w:themeColor="accent1" w:themeShade="BF"/>
      <w:sz w:val="24"/>
      <w:szCs w:val="20"/>
      <w:lang w:val="es-ES_tradnl"/>
    </w:rPr>
  </w:style>
  <w:style w:type="paragraph" w:customStyle="1" w:styleId="parrafo">
    <w:name w:val="parrafo"/>
    <w:basedOn w:val="Normal"/>
    <w:rsid w:val="00F179F3"/>
    <w:pPr>
      <w:spacing w:before="100" w:beforeAutospacing="1" w:after="100" w:afterAutospacing="1"/>
    </w:pPr>
    <w:rPr>
      <w:szCs w:val="24"/>
      <w:lang w:val="es-ES" w:eastAsia="es-ES"/>
    </w:rPr>
  </w:style>
  <w:style w:type="paragraph" w:customStyle="1" w:styleId="parrafo2">
    <w:name w:val="parrafo_2"/>
    <w:basedOn w:val="Normal"/>
    <w:rsid w:val="00F179F3"/>
    <w:pPr>
      <w:spacing w:before="100" w:beforeAutospacing="1" w:after="100" w:afterAutospacing="1"/>
    </w:pPr>
    <w:rPr>
      <w:szCs w:val="24"/>
      <w:lang w:val="es-ES" w:eastAsia="es-ES"/>
    </w:rPr>
  </w:style>
  <w:style w:type="paragraph" w:customStyle="1" w:styleId="Standard">
    <w:name w:val="Standard"/>
    <w:rsid w:val="00DE5244"/>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14482">
      <w:bodyDiv w:val="1"/>
      <w:marLeft w:val="0"/>
      <w:marRight w:val="0"/>
      <w:marTop w:val="0"/>
      <w:marBottom w:val="0"/>
      <w:divBdr>
        <w:top w:val="none" w:sz="0" w:space="0" w:color="auto"/>
        <w:left w:val="none" w:sz="0" w:space="0" w:color="auto"/>
        <w:bottom w:val="none" w:sz="0" w:space="0" w:color="auto"/>
        <w:right w:val="none" w:sz="0" w:space="0" w:color="auto"/>
      </w:divBdr>
    </w:div>
    <w:div w:id="670135060">
      <w:bodyDiv w:val="1"/>
      <w:marLeft w:val="0"/>
      <w:marRight w:val="0"/>
      <w:marTop w:val="0"/>
      <w:marBottom w:val="0"/>
      <w:divBdr>
        <w:top w:val="none" w:sz="0" w:space="0" w:color="auto"/>
        <w:left w:val="none" w:sz="0" w:space="0" w:color="auto"/>
        <w:bottom w:val="none" w:sz="0" w:space="0" w:color="auto"/>
        <w:right w:val="none" w:sz="0" w:space="0" w:color="auto"/>
      </w:divBdr>
    </w:div>
    <w:div w:id="805587116">
      <w:bodyDiv w:val="1"/>
      <w:marLeft w:val="0"/>
      <w:marRight w:val="0"/>
      <w:marTop w:val="0"/>
      <w:marBottom w:val="0"/>
      <w:divBdr>
        <w:top w:val="none" w:sz="0" w:space="0" w:color="auto"/>
        <w:left w:val="none" w:sz="0" w:space="0" w:color="auto"/>
        <w:bottom w:val="none" w:sz="0" w:space="0" w:color="auto"/>
        <w:right w:val="none" w:sz="0" w:space="0" w:color="auto"/>
      </w:divBdr>
    </w:div>
    <w:div w:id="1051229322">
      <w:bodyDiv w:val="1"/>
      <w:marLeft w:val="0"/>
      <w:marRight w:val="0"/>
      <w:marTop w:val="0"/>
      <w:marBottom w:val="0"/>
      <w:divBdr>
        <w:top w:val="none" w:sz="0" w:space="0" w:color="auto"/>
        <w:left w:val="none" w:sz="0" w:space="0" w:color="auto"/>
        <w:bottom w:val="none" w:sz="0" w:space="0" w:color="auto"/>
        <w:right w:val="none" w:sz="0" w:space="0" w:color="auto"/>
      </w:divBdr>
    </w:div>
    <w:div w:id="1946107457">
      <w:bodyDiv w:val="1"/>
      <w:marLeft w:val="0"/>
      <w:marRight w:val="0"/>
      <w:marTop w:val="0"/>
      <w:marBottom w:val="0"/>
      <w:divBdr>
        <w:top w:val="none" w:sz="0" w:space="0" w:color="auto"/>
        <w:left w:val="none" w:sz="0" w:space="0" w:color="auto"/>
        <w:bottom w:val="none" w:sz="0" w:space="0" w:color="auto"/>
        <w:right w:val="none" w:sz="0" w:space="0" w:color="auto"/>
      </w:divBdr>
    </w:div>
    <w:div w:id="1974173524">
      <w:bodyDiv w:val="1"/>
      <w:marLeft w:val="0"/>
      <w:marRight w:val="0"/>
      <w:marTop w:val="0"/>
      <w:marBottom w:val="0"/>
      <w:divBdr>
        <w:top w:val="none" w:sz="0" w:space="0" w:color="auto"/>
        <w:left w:val="none" w:sz="0" w:space="0" w:color="auto"/>
        <w:bottom w:val="none" w:sz="0" w:space="0" w:color="auto"/>
        <w:right w:val="none" w:sz="0" w:space="0" w:color="auto"/>
      </w:divBdr>
    </w:div>
    <w:div w:id="1974363077">
      <w:bodyDiv w:val="1"/>
      <w:marLeft w:val="0"/>
      <w:marRight w:val="0"/>
      <w:marTop w:val="0"/>
      <w:marBottom w:val="0"/>
      <w:divBdr>
        <w:top w:val="none" w:sz="0" w:space="0" w:color="auto"/>
        <w:left w:val="none" w:sz="0" w:space="0" w:color="auto"/>
        <w:bottom w:val="none" w:sz="0" w:space="0" w:color="auto"/>
        <w:right w:val="none" w:sz="0" w:space="0" w:color="auto"/>
      </w:divBdr>
    </w:div>
    <w:div w:id="21248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1</Pages>
  <Words>2960</Words>
  <Characters>16281</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arras penitenciales para la compraventa de vivienda</dc:title>
  <dc:subject/>
  <dc:creator>UNIDAD VIRTUAL</dc:creator>
  <cp:keywords/>
  <dc:description/>
  <cp:lastModifiedBy>UNIDAD VIRTUAL</cp:lastModifiedBy>
  <cp:revision>31</cp:revision>
  <dcterms:created xsi:type="dcterms:W3CDTF">2023-01-24T17:11:00Z</dcterms:created>
  <dcterms:modified xsi:type="dcterms:W3CDTF">2026-10-12T20:28:00Z</dcterms:modified>
</cp:coreProperties>
</file>